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F88FF" w14:textId="77777777" w:rsidR="00C30AD9" w:rsidRPr="005D03D7" w:rsidRDefault="00FC4C11" w:rsidP="00DA4250">
      <w:pPr>
        <w:spacing w:line="220" w:lineRule="exact"/>
        <w:rPr>
          <w:rFonts w:cs="Arial"/>
          <w:b/>
        </w:rPr>
      </w:pPr>
      <w:r w:rsidRPr="005D03D7">
        <w:rPr>
          <w:rFonts w:cs="Arial"/>
          <w:b/>
        </w:rPr>
        <w:t>658091 Premier Talent Partners</w:t>
      </w:r>
    </w:p>
    <w:p w14:paraId="3C9F8902" w14:textId="77777777" w:rsidR="00C30AD9" w:rsidRPr="005D03D7" w:rsidRDefault="00C30AD9" w:rsidP="00C30AD9">
      <w:pPr>
        <w:rPr>
          <w:rFonts w:cs="Arial"/>
          <w:b/>
          <w:sz w:val="14"/>
        </w:rPr>
      </w:pPr>
    </w:p>
    <w:p w14:paraId="3C9F8903" w14:textId="77777777" w:rsidR="00C30AD9" w:rsidRPr="005D03D7" w:rsidRDefault="00FC4C11" w:rsidP="00364412">
      <w:pPr>
        <w:pStyle w:val="Heading1BenefitSummary"/>
      </w:pPr>
      <w:r w:rsidRPr="005D03D7">
        <w:t xml:space="preserve">Principal Benefits for </w:t>
      </w:r>
      <w:r w:rsidRPr="005D03D7">
        <w:br/>
        <w:t>Kaiser Permanente Traditional HMO Plan</w:t>
      </w:r>
      <w:bookmarkStart w:id="0" w:name="_Hlk162431739"/>
      <w:bookmarkEnd w:id="0"/>
      <w:r w:rsidRPr="005D03D7">
        <w:t xml:space="preserve"> (1/1/23—12/31/23)</w:t>
      </w:r>
    </w:p>
    <w:p w14:paraId="302BB73B" w14:textId="77777777" w:rsidR="00D501A8" w:rsidRPr="005D03D7" w:rsidRDefault="00FC4C11" w:rsidP="00DA4250">
      <w:pPr>
        <w:keepNext/>
        <w:pBdr>
          <w:bottom w:val="single" w:sz="8" w:space="0" w:color="auto"/>
        </w:pBdr>
        <w:spacing w:before="60" w:line="220" w:lineRule="exact"/>
        <w:outlineLvl w:val="1"/>
        <w:rPr>
          <w:rFonts w:cs="Arial"/>
        </w:rPr>
      </w:pPr>
      <w:bookmarkStart w:id="1" w:name="_Hlk71814415"/>
      <w:r w:rsidRPr="00A85D1E">
        <w:rPr>
          <w:rStyle w:val="Heading2Char"/>
        </w:rPr>
        <w:t>Accumulation Period</w:t>
      </w:r>
    </w:p>
    <w:bookmarkEnd w:id="1"/>
    <w:p w14:paraId="21ADCC24" w14:textId="77777777" w:rsidR="00D501A8" w:rsidRPr="005D03D7" w:rsidRDefault="00FC4C11" w:rsidP="00DA4250">
      <w:pPr>
        <w:spacing w:line="220" w:lineRule="exact"/>
        <w:ind w:left="80" w:hanging="80"/>
        <w:rPr>
          <w:rFonts w:cs="Arial"/>
        </w:rPr>
      </w:pPr>
      <w:r w:rsidRPr="005D03D7">
        <w:t>The Accumulation Period for this plan is January 1 through December 31.</w:t>
      </w:r>
    </w:p>
    <w:p w14:paraId="6BCD3CD4" w14:textId="77777777" w:rsidR="00D501A8" w:rsidRPr="005D03D7" w:rsidRDefault="00FC4C11" w:rsidP="00DA4250">
      <w:pPr>
        <w:keepNext/>
        <w:pBdr>
          <w:bottom w:val="single" w:sz="8" w:space="0" w:color="auto"/>
        </w:pBdr>
        <w:spacing w:before="60" w:line="220" w:lineRule="exact"/>
        <w:outlineLvl w:val="1"/>
        <w:rPr>
          <w:rFonts w:cs="Arial"/>
        </w:rPr>
      </w:pPr>
      <w:r w:rsidRPr="00A85D1E">
        <w:rPr>
          <w:rStyle w:val="Heading2Char"/>
        </w:rPr>
        <w:t>Out-of-Pocket Maximums and</w:t>
      </w:r>
      <w:r w:rsidRPr="005D03D7">
        <w:rPr>
          <w:rFonts w:cs="Arial"/>
          <w:b/>
        </w:rPr>
        <w:t xml:space="preserve"> </w:t>
      </w:r>
      <w:r w:rsidRPr="00A85D1E">
        <w:rPr>
          <w:rStyle w:val="Heading2Char"/>
        </w:rPr>
        <w:t>Deductibles</w:t>
      </w:r>
    </w:p>
    <w:p w14:paraId="3C9F892D" w14:textId="77777777" w:rsidR="00C30AD9" w:rsidRPr="005D03D7" w:rsidRDefault="00FC4C11" w:rsidP="00DA4250">
      <w:pPr>
        <w:spacing w:line="220" w:lineRule="exact"/>
        <w:ind w:left="80" w:hanging="80"/>
        <w:rPr>
          <w:rFonts w:cs="Arial"/>
        </w:rPr>
      </w:pPr>
      <w:r w:rsidRPr="005D03D7">
        <w:rPr>
          <w:rFonts w:cs="Arial"/>
        </w:rPr>
        <w:t xml:space="preserve">For </w:t>
      </w:r>
      <w:r w:rsidRPr="005D03D7">
        <w:rPr>
          <w:rFonts w:cs="Arial"/>
        </w:rPr>
        <w:t>Services that apply to the Plan Out-of-Pocket Maximum, you will not pay any more Cost Share for the rest of the Accumulation Period once you have reached the amounts listed below.</w:t>
      </w:r>
    </w:p>
    <w:tbl>
      <w:tblPr>
        <w:tblW w:w="10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6A0" w:firstRow="1" w:lastRow="0" w:firstColumn="1" w:lastColumn="0" w:noHBand="1" w:noVBand="1"/>
      </w:tblPr>
      <w:tblGrid>
        <w:gridCol w:w="3441"/>
        <w:gridCol w:w="2491"/>
        <w:gridCol w:w="2491"/>
        <w:gridCol w:w="2491"/>
      </w:tblGrid>
      <w:tr w:rsidR="00682401" w14:paraId="3C9F893A" w14:textId="77777777" w:rsidTr="004F5E35">
        <w:trPr>
          <w:cantSplit/>
          <w:tblHeader/>
        </w:trPr>
        <w:tc>
          <w:tcPr>
            <w:tcW w:w="3441" w:type="dxa"/>
            <w:shd w:val="clear" w:color="auto" w:fill="auto"/>
            <w:vAlign w:val="center"/>
          </w:tcPr>
          <w:p w14:paraId="3C9F8933" w14:textId="77777777" w:rsidR="00C30AD9" w:rsidRPr="005D03D7" w:rsidRDefault="00FC4C11" w:rsidP="00283570">
            <w:pPr>
              <w:pStyle w:val="Heading2Table"/>
              <w:pBdr>
                <w:bottom w:val="none" w:sz="0" w:space="0" w:color="auto"/>
              </w:pBdr>
              <w:spacing w:line="220" w:lineRule="exact"/>
              <w:jc w:val="center"/>
              <w:rPr>
                <w:b w:val="0"/>
              </w:rPr>
            </w:pPr>
            <w:r w:rsidRPr="005D03D7">
              <w:t>Amounts Per Accumulation Period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3C9F8934" w14:textId="640CE263" w:rsidR="00C30AD9" w:rsidRPr="00FA79D3" w:rsidRDefault="00FC4C11" w:rsidP="00DA4250">
            <w:pPr>
              <w:keepNext/>
              <w:spacing w:line="220" w:lineRule="exact"/>
              <w:jc w:val="center"/>
              <w:rPr>
                <w:bCs/>
              </w:rPr>
            </w:pPr>
            <w:r w:rsidRPr="007B0FEB">
              <w:rPr>
                <w:b/>
              </w:rPr>
              <w:t>Self-Only Coverage</w:t>
            </w:r>
          </w:p>
          <w:p w14:paraId="3C9F8935" w14:textId="77777777" w:rsidR="00C30AD9" w:rsidRPr="007B0FEB" w:rsidRDefault="00FC4C11" w:rsidP="00DA4250">
            <w:pPr>
              <w:keepNext/>
              <w:spacing w:line="220" w:lineRule="exact"/>
              <w:jc w:val="center"/>
              <w:rPr>
                <w:bCs/>
              </w:rPr>
            </w:pPr>
            <w:r w:rsidRPr="007B0FEB">
              <w:rPr>
                <w:bCs/>
              </w:rPr>
              <w:t>(a Family of one Member)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3C9F8936" w14:textId="77777777" w:rsidR="00C30AD9" w:rsidRPr="00FA79D3" w:rsidRDefault="00FC4C11" w:rsidP="00DA4250">
            <w:pPr>
              <w:keepNext/>
              <w:spacing w:line="220" w:lineRule="exact"/>
              <w:jc w:val="center"/>
              <w:rPr>
                <w:bCs/>
              </w:rPr>
            </w:pPr>
            <w:r w:rsidRPr="007B0FEB">
              <w:rPr>
                <w:b/>
              </w:rPr>
              <w:t>Family Coverage</w:t>
            </w:r>
          </w:p>
          <w:p w14:paraId="3C9F8937" w14:textId="77777777" w:rsidR="00C30AD9" w:rsidRPr="007B0FEB" w:rsidRDefault="00FC4C11" w:rsidP="00DA4250">
            <w:pPr>
              <w:keepNext/>
              <w:spacing w:line="220" w:lineRule="exact"/>
              <w:jc w:val="center"/>
              <w:rPr>
                <w:bCs/>
              </w:rPr>
            </w:pPr>
            <w:r w:rsidRPr="007B0FEB">
              <w:rPr>
                <w:bCs/>
              </w:rPr>
              <w:t>Each Member in a Family of two or more Members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3C9F8938" w14:textId="77777777" w:rsidR="00C30AD9" w:rsidRPr="00FA79D3" w:rsidRDefault="00FC4C11" w:rsidP="00DA4250">
            <w:pPr>
              <w:keepNext/>
              <w:spacing w:line="220" w:lineRule="exact"/>
              <w:jc w:val="center"/>
              <w:rPr>
                <w:bCs/>
              </w:rPr>
            </w:pPr>
            <w:r w:rsidRPr="007B0FEB">
              <w:rPr>
                <w:b/>
              </w:rPr>
              <w:t>Family Coverage</w:t>
            </w:r>
          </w:p>
          <w:p w14:paraId="3C9F8939" w14:textId="77777777" w:rsidR="00C30AD9" w:rsidRPr="007B0FEB" w:rsidRDefault="00FC4C11" w:rsidP="00DA4250">
            <w:pPr>
              <w:keepNext/>
              <w:spacing w:line="220" w:lineRule="exact"/>
              <w:jc w:val="center"/>
              <w:rPr>
                <w:bCs/>
              </w:rPr>
            </w:pPr>
            <w:r w:rsidRPr="007B0FEB">
              <w:rPr>
                <w:bCs/>
              </w:rPr>
              <w:t>Entire Family of two or more Members</w:t>
            </w:r>
          </w:p>
        </w:tc>
      </w:tr>
      <w:tr w:rsidR="00682401" w14:paraId="3C9F8951" w14:textId="77777777" w:rsidTr="004F5E35">
        <w:trPr>
          <w:cantSplit/>
        </w:trPr>
        <w:tc>
          <w:tcPr>
            <w:tcW w:w="3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F894D" w14:textId="77777777" w:rsidR="00C30AD9" w:rsidRPr="005D03D7" w:rsidRDefault="00FC4C11" w:rsidP="00DA4250">
            <w:pPr>
              <w:spacing w:line="220" w:lineRule="exact"/>
            </w:pPr>
            <w:r w:rsidRPr="005D03D7">
              <w:t>Plan Out-of-Pocket Maximum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F894E" w14:textId="338BB297" w:rsidR="00C30AD9" w:rsidRPr="005D03D7" w:rsidRDefault="00FC4C11" w:rsidP="00DA4250">
            <w:pPr>
              <w:spacing w:line="220" w:lineRule="exact"/>
              <w:jc w:val="center"/>
            </w:pPr>
            <w:r w:rsidRPr="005D03D7">
              <w:rPr>
                <w:rFonts w:cs="Arial"/>
              </w:rPr>
              <w:t>$1,500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F894F" w14:textId="3EBD3767" w:rsidR="00C30AD9" w:rsidRPr="005D03D7" w:rsidRDefault="00FC4C11" w:rsidP="00DA4250">
            <w:pPr>
              <w:spacing w:line="220" w:lineRule="exact"/>
              <w:jc w:val="center"/>
            </w:pPr>
            <w:r w:rsidRPr="005D03D7">
              <w:rPr>
                <w:rFonts w:cs="Arial"/>
              </w:rPr>
              <w:t>$1,500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F8950" w14:textId="401BA41A" w:rsidR="00C30AD9" w:rsidRPr="005D03D7" w:rsidRDefault="00FC4C11" w:rsidP="00DA4250">
            <w:pPr>
              <w:spacing w:line="220" w:lineRule="exact"/>
              <w:jc w:val="center"/>
            </w:pPr>
            <w:r w:rsidRPr="005D03D7">
              <w:rPr>
                <w:rFonts w:cs="Arial"/>
              </w:rPr>
              <w:t>$3,000</w:t>
            </w:r>
          </w:p>
        </w:tc>
      </w:tr>
      <w:tr w:rsidR="00682401" w14:paraId="3C9F896F" w14:textId="77777777" w:rsidTr="004F5E35">
        <w:trPr>
          <w:cantSplit/>
        </w:trPr>
        <w:tc>
          <w:tcPr>
            <w:tcW w:w="3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F896B" w14:textId="77777777" w:rsidR="00C30AD9" w:rsidRPr="005D03D7" w:rsidRDefault="00FC4C11" w:rsidP="00DA4250">
            <w:pPr>
              <w:spacing w:line="220" w:lineRule="exact"/>
            </w:pPr>
            <w:r w:rsidRPr="005D03D7">
              <w:t>Plan Deductible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F896C" w14:textId="77777777" w:rsidR="00C30AD9" w:rsidRPr="005D03D7" w:rsidRDefault="00FC4C11" w:rsidP="00DA4250">
            <w:pPr>
              <w:spacing w:line="220" w:lineRule="exact"/>
              <w:jc w:val="center"/>
            </w:pPr>
            <w:r w:rsidRPr="005D03D7">
              <w:rPr>
                <w:rFonts w:cs="Arial"/>
              </w:rPr>
              <w:t>None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F896D" w14:textId="77777777" w:rsidR="00C30AD9" w:rsidRPr="005D03D7" w:rsidRDefault="00FC4C11" w:rsidP="00DA4250">
            <w:pPr>
              <w:spacing w:line="220" w:lineRule="exact"/>
              <w:jc w:val="center"/>
            </w:pPr>
            <w:r w:rsidRPr="005D03D7">
              <w:rPr>
                <w:rFonts w:cs="Arial"/>
              </w:rPr>
              <w:t>None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F896E" w14:textId="77777777" w:rsidR="00C30AD9" w:rsidRPr="005D03D7" w:rsidRDefault="00FC4C11" w:rsidP="00DA4250">
            <w:pPr>
              <w:spacing w:line="220" w:lineRule="exact"/>
              <w:jc w:val="center"/>
            </w:pPr>
            <w:r w:rsidRPr="005D03D7">
              <w:t>None</w:t>
            </w:r>
          </w:p>
        </w:tc>
      </w:tr>
      <w:tr w:rsidR="00682401" w14:paraId="3C9F8997" w14:textId="77777777" w:rsidTr="004F5E35">
        <w:trPr>
          <w:cantSplit/>
        </w:trPr>
        <w:tc>
          <w:tcPr>
            <w:tcW w:w="3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F8993" w14:textId="77777777" w:rsidR="00C30AD9" w:rsidRPr="005D03D7" w:rsidRDefault="00FC4C11" w:rsidP="00DA4250">
            <w:pPr>
              <w:spacing w:line="220" w:lineRule="exact"/>
            </w:pPr>
            <w:r w:rsidRPr="005D03D7">
              <w:t>Drug Deductible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F8994" w14:textId="77777777" w:rsidR="00C30AD9" w:rsidRPr="005D03D7" w:rsidRDefault="00FC4C11" w:rsidP="00DA4250">
            <w:pPr>
              <w:spacing w:line="220" w:lineRule="exact"/>
              <w:jc w:val="center"/>
            </w:pPr>
            <w:r w:rsidRPr="005D03D7">
              <w:rPr>
                <w:rFonts w:cs="Arial"/>
              </w:rPr>
              <w:t>None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F8995" w14:textId="77777777" w:rsidR="00C30AD9" w:rsidRPr="005D03D7" w:rsidRDefault="00FC4C11" w:rsidP="00DA4250">
            <w:pPr>
              <w:spacing w:line="220" w:lineRule="exact"/>
              <w:jc w:val="center"/>
            </w:pPr>
            <w:r w:rsidRPr="005D03D7">
              <w:rPr>
                <w:rFonts w:cs="Arial"/>
              </w:rPr>
              <w:t>None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9F8996" w14:textId="77777777" w:rsidR="00C30AD9" w:rsidRPr="005D03D7" w:rsidRDefault="00FC4C11" w:rsidP="00DA4250">
            <w:pPr>
              <w:spacing w:line="220" w:lineRule="exact"/>
              <w:jc w:val="center"/>
            </w:pPr>
            <w:r w:rsidRPr="005D03D7">
              <w:t>None</w:t>
            </w:r>
          </w:p>
        </w:tc>
      </w:tr>
    </w:tbl>
    <w:p w14:paraId="3C9F89C5" w14:textId="77777777" w:rsidR="00C30AD9" w:rsidRPr="005D03D7" w:rsidRDefault="00C30AD9" w:rsidP="00C30AD9">
      <w:pPr>
        <w:rPr>
          <w:rFonts w:cs="Arial"/>
          <w:sz w:val="6"/>
          <w:szCs w:val="6"/>
        </w:rPr>
      </w:pPr>
    </w:p>
    <w:tbl>
      <w:tblPr>
        <w:tblW w:w="10914" w:type="dxa"/>
        <w:tblLayout w:type="fixed"/>
        <w:tblCellMar>
          <w:left w:w="43" w:type="dxa"/>
          <w:right w:w="43" w:type="dxa"/>
        </w:tblCellMar>
        <w:tblLook w:val="06A0" w:firstRow="1" w:lastRow="0" w:firstColumn="1" w:lastColumn="0" w:noHBand="1" w:noVBand="1"/>
      </w:tblPr>
      <w:tblGrid>
        <w:gridCol w:w="6323"/>
        <w:gridCol w:w="4591"/>
      </w:tblGrid>
      <w:tr w:rsidR="00682401" w14:paraId="3C9F89C8" w14:textId="77777777" w:rsidTr="00DA4250">
        <w:trPr>
          <w:cantSplit/>
          <w:tblHeader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3C9F89C6" w14:textId="39522FA1" w:rsidR="00C30AD9" w:rsidRPr="005D03D7" w:rsidRDefault="00FC4C11" w:rsidP="00DA4250">
            <w:pPr>
              <w:pStyle w:val="Heading2Table"/>
              <w:spacing w:line="220" w:lineRule="exact"/>
              <w:rPr>
                <w:rFonts w:cs="Arial"/>
              </w:rPr>
            </w:pPr>
            <w:r w:rsidRPr="00DE4433">
              <w:t>Plan</w:t>
            </w:r>
            <w:r w:rsidR="00D7479D" w:rsidRPr="00DE4433">
              <w:t xml:space="preserve"> </w:t>
            </w:r>
            <w:r w:rsidRPr="00DE4433">
              <w:t>Provider</w:t>
            </w:r>
            <w:r w:rsidR="00D7479D" w:rsidRPr="00DE4433">
              <w:t xml:space="preserve"> </w:t>
            </w:r>
            <w:r w:rsidR="00C75666" w:rsidRPr="00DE4433">
              <w:t>O</w:t>
            </w:r>
            <w:r w:rsidRPr="00DE4433">
              <w:t>ffice</w:t>
            </w:r>
            <w:r w:rsidR="00D7479D" w:rsidRPr="00DE4433">
              <w:t xml:space="preserve"> </w:t>
            </w:r>
            <w:r w:rsidR="00C75666" w:rsidRPr="00DE4433">
              <w:t>V</w:t>
            </w:r>
            <w:r w:rsidRPr="00DE4433">
              <w:t>isits</w:t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3C9F89C7" w14:textId="77777777" w:rsidR="00C30AD9" w:rsidRPr="00775ED1" w:rsidRDefault="00FC4C11" w:rsidP="00DA4250">
            <w:pPr>
              <w:pStyle w:val="TableHeading"/>
              <w:spacing w:line="220" w:lineRule="exact"/>
            </w:pPr>
            <w:r w:rsidRPr="00775ED1">
              <w:t>You Pay</w:t>
            </w:r>
          </w:p>
        </w:tc>
      </w:tr>
      <w:tr w:rsidR="00682401" w14:paraId="3C9F89CF" w14:textId="77777777" w:rsidTr="00DA4250">
        <w:trPr>
          <w:cantSplit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3C9F89CD" w14:textId="77777777" w:rsidR="00C30AD9" w:rsidRPr="005D03D7" w:rsidRDefault="00256761" w:rsidP="00804ACC">
            <w:pPr>
              <w:tabs>
                <w:tab w:val="left" w:leader="dot" w:pos="6215"/>
              </w:tabs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Most Primary Care Visits and most Non-Physician Specialist Visits</w:t>
            </w:r>
            <w:r w:rsidRPr="005D03D7">
              <w:rPr>
                <w:rFonts w:cs="Arial"/>
              </w:rPr>
              <w:tab/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3C9F89CE" w14:textId="77777777" w:rsidR="00C30AD9" w:rsidRPr="005D03D7" w:rsidRDefault="00FC4C11" w:rsidP="00DA4250">
            <w:pPr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$15 per visit</w:t>
            </w:r>
          </w:p>
        </w:tc>
      </w:tr>
      <w:tr w:rsidR="00682401" w14:paraId="3C9F89D2" w14:textId="77777777" w:rsidTr="00DA4250">
        <w:trPr>
          <w:cantSplit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3C9F89D0" w14:textId="77777777" w:rsidR="00C30AD9" w:rsidRPr="005D03D7" w:rsidRDefault="00FC4C11" w:rsidP="00804ACC">
            <w:pPr>
              <w:tabs>
                <w:tab w:val="left" w:leader="dot" w:pos="6215"/>
              </w:tabs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Most Physician Specialist Visits</w:t>
            </w:r>
            <w:r w:rsidRPr="005D03D7">
              <w:rPr>
                <w:rFonts w:cs="Arial"/>
              </w:rPr>
              <w:tab/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3C9F89D1" w14:textId="77777777" w:rsidR="00C30AD9" w:rsidRPr="005D03D7" w:rsidRDefault="00FC4C11" w:rsidP="00DA4250">
            <w:pPr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$15 per visit</w:t>
            </w:r>
          </w:p>
        </w:tc>
      </w:tr>
      <w:tr w:rsidR="00682401" w14:paraId="3C9F89DB" w14:textId="77777777" w:rsidTr="00DA4250">
        <w:trPr>
          <w:cantSplit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3C9F89D9" w14:textId="77777777" w:rsidR="00C30AD9" w:rsidRPr="005D03D7" w:rsidRDefault="00FC4C11" w:rsidP="00804ACC">
            <w:pPr>
              <w:tabs>
                <w:tab w:val="left" w:leader="dot" w:pos="6215"/>
              </w:tabs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Routine physical maintenance exams, including well-woman exams</w:t>
            </w:r>
            <w:r w:rsidRPr="005D03D7">
              <w:rPr>
                <w:rFonts w:cs="Arial"/>
              </w:rPr>
              <w:tab/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3C9F89DA" w14:textId="77777777" w:rsidR="00C30AD9" w:rsidRPr="005D03D7" w:rsidRDefault="00FC4C11" w:rsidP="00DA4250">
            <w:pPr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No charge</w:t>
            </w:r>
          </w:p>
        </w:tc>
      </w:tr>
      <w:tr w:rsidR="00682401" w14:paraId="3C9F89DE" w14:textId="77777777" w:rsidTr="00DA4250">
        <w:trPr>
          <w:cantSplit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3C9F89DC" w14:textId="77777777" w:rsidR="00C30AD9" w:rsidRPr="005D03D7" w:rsidRDefault="00FC4C11" w:rsidP="00804ACC">
            <w:pPr>
              <w:tabs>
                <w:tab w:val="left" w:leader="dot" w:pos="6215"/>
              </w:tabs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 xml:space="preserve">Well-child preventive exams </w:t>
            </w:r>
            <w:r w:rsidRPr="005D03D7">
              <w:rPr>
                <w:rFonts w:cs="Arial"/>
              </w:rPr>
              <w:t>(through age 23 months)</w:t>
            </w:r>
            <w:r w:rsidRPr="005D03D7">
              <w:rPr>
                <w:rFonts w:cs="Arial"/>
              </w:rPr>
              <w:tab/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3C9F89DD" w14:textId="77777777" w:rsidR="00C30AD9" w:rsidRPr="005D03D7" w:rsidRDefault="00FC4C11" w:rsidP="00DA4250">
            <w:pPr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No charge</w:t>
            </w:r>
          </w:p>
        </w:tc>
      </w:tr>
      <w:tr w:rsidR="00682401" w14:paraId="3C9F89F3" w14:textId="77777777" w:rsidTr="00DA4250">
        <w:trPr>
          <w:cantSplit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3C9F89F1" w14:textId="77777777" w:rsidR="00C30AD9" w:rsidRPr="005D03D7" w:rsidRDefault="00FC4C11" w:rsidP="00804ACC">
            <w:pPr>
              <w:tabs>
                <w:tab w:val="left" w:leader="dot" w:pos="6215"/>
              </w:tabs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Scheduled prenatal care exams</w:t>
            </w:r>
            <w:r w:rsidRPr="005D03D7">
              <w:rPr>
                <w:rFonts w:cs="Arial"/>
              </w:rPr>
              <w:tab/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3C9F89F2" w14:textId="77777777" w:rsidR="00C30AD9" w:rsidRPr="005D03D7" w:rsidRDefault="00FC4C11" w:rsidP="00DA4250">
            <w:pPr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No charge</w:t>
            </w:r>
          </w:p>
        </w:tc>
      </w:tr>
      <w:tr w:rsidR="00682401" w14:paraId="3C9F89F9" w14:textId="77777777" w:rsidTr="00DA4250">
        <w:trPr>
          <w:cantSplit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3C9F89F7" w14:textId="77777777" w:rsidR="00C30AD9" w:rsidRPr="005D03D7" w:rsidRDefault="00FC4C11" w:rsidP="00804ACC">
            <w:pPr>
              <w:tabs>
                <w:tab w:val="left" w:leader="dot" w:pos="6215"/>
              </w:tabs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Routine eye exams with a Plan Optometrist</w:t>
            </w:r>
            <w:r w:rsidRPr="005D03D7">
              <w:rPr>
                <w:rFonts w:cs="Arial"/>
              </w:rPr>
              <w:tab/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3C9F89F8" w14:textId="77777777" w:rsidR="00C30AD9" w:rsidRPr="005D03D7" w:rsidRDefault="00FC4C11" w:rsidP="00DA4250">
            <w:pPr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No charge</w:t>
            </w:r>
          </w:p>
        </w:tc>
      </w:tr>
      <w:tr w:rsidR="00682401" w14:paraId="3C9F8A0B" w14:textId="77777777" w:rsidTr="00DA4250">
        <w:trPr>
          <w:cantSplit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3C9F8A09" w14:textId="77777777" w:rsidR="00C30AD9" w:rsidRPr="005D03D7" w:rsidRDefault="00FC4C11" w:rsidP="00804ACC">
            <w:pPr>
              <w:tabs>
                <w:tab w:val="left" w:leader="dot" w:pos="6215"/>
              </w:tabs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Urgent care consultations, evaluations, and treatment</w:t>
            </w:r>
            <w:r w:rsidRPr="005D03D7">
              <w:rPr>
                <w:rFonts w:cs="Arial"/>
              </w:rPr>
              <w:tab/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3C9F8A0A" w14:textId="77777777" w:rsidR="00C30AD9" w:rsidRPr="005D03D7" w:rsidRDefault="00FC4C11" w:rsidP="00DA4250">
            <w:pPr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$15 per visit</w:t>
            </w:r>
          </w:p>
        </w:tc>
      </w:tr>
      <w:tr w:rsidR="00682401" w14:paraId="3C9F8A11" w14:textId="77777777" w:rsidTr="00DA4250">
        <w:trPr>
          <w:cantSplit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3C9F8A0F" w14:textId="77777777" w:rsidR="00C30AD9" w:rsidRPr="005D03D7" w:rsidRDefault="00FC4C11" w:rsidP="00804ACC">
            <w:pPr>
              <w:tabs>
                <w:tab w:val="left" w:leader="dot" w:pos="6215"/>
              </w:tabs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Most physical, occupational, and speech therapy</w:t>
            </w:r>
            <w:r w:rsidRPr="005D03D7">
              <w:rPr>
                <w:rFonts w:cs="Arial"/>
              </w:rPr>
              <w:tab/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3C9F8A10" w14:textId="77777777" w:rsidR="00C30AD9" w:rsidRPr="005D03D7" w:rsidRDefault="00FC4C11" w:rsidP="00DA4250">
            <w:pPr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$15 per visit</w:t>
            </w:r>
          </w:p>
        </w:tc>
      </w:tr>
    </w:tbl>
    <w:p w14:paraId="01C804CA" w14:textId="77777777" w:rsidR="00C75666" w:rsidRPr="005D03D7" w:rsidRDefault="00C75666" w:rsidP="00C75666">
      <w:pPr>
        <w:rPr>
          <w:rFonts w:cs="Arial"/>
          <w:sz w:val="6"/>
          <w:szCs w:val="6"/>
        </w:rPr>
      </w:pPr>
    </w:p>
    <w:tbl>
      <w:tblPr>
        <w:tblW w:w="10914" w:type="dxa"/>
        <w:tblLayout w:type="fixed"/>
        <w:tblCellMar>
          <w:left w:w="43" w:type="dxa"/>
          <w:right w:w="43" w:type="dxa"/>
        </w:tblCellMar>
        <w:tblLook w:val="06A0" w:firstRow="1" w:lastRow="0" w:firstColumn="1" w:lastColumn="0" w:noHBand="1" w:noVBand="1"/>
      </w:tblPr>
      <w:tblGrid>
        <w:gridCol w:w="6323"/>
        <w:gridCol w:w="4591"/>
      </w:tblGrid>
      <w:tr w:rsidR="00682401" w14:paraId="23934781" w14:textId="77777777" w:rsidTr="00DA4250">
        <w:trPr>
          <w:cantSplit/>
          <w:tblHeader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716C7326" w14:textId="5499E00E" w:rsidR="00C75666" w:rsidRPr="005D03D7" w:rsidRDefault="00FC4C11" w:rsidP="00DA4250">
            <w:pPr>
              <w:pStyle w:val="Heading2Table"/>
              <w:spacing w:line="220" w:lineRule="exact"/>
              <w:rPr>
                <w:rFonts w:cs="Arial"/>
              </w:rPr>
            </w:pPr>
            <w:r w:rsidRPr="00DE4433">
              <w:t>Telehealth Visits</w:t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688A7ABB" w14:textId="77777777" w:rsidR="00C75666" w:rsidRPr="00775ED1" w:rsidRDefault="00FC4C11" w:rsidP="00DA4250">
            <w:pPr>
              <w:pStyle w:val="TableHeading"/>
              <w:spacing w:line="220" w:lineRule="exact"/>
            </w:pPr>
            <w:r w:rsidRPr="00775ED1">
              <w:t>You Pay</w:t>
            </w:r>
          </w:p>
        </w:tc>
      </w:tr>
      <w:tr w:rsidR="00682401" w14:paraId="60AE7351" w14:textId="77777777" w:rsidTr="00DA4250">
        <w:trPr>
          <w:cantSplit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4F037160" w14:textId="132266D9" w:rsidR="00C75666" w:rsidRPr="005D03D7" w:rsidRDefault="00FC4C11" w:rsidP="00804ACC">
            <w:pPr>
              <w:tabs>
                <w:tab w:val="left" w:leader="dot" w:pos="6215"/>
              </w:tabs>
              <w:spacing w:line="220" w:lineRule="exact"/>
              <w:rPr>
                <w:rFonts w:cs="Arial"/>
              </w:rPr>
            </w:pPr>
            <w:r w:rsidRPr="005D03D7">
              <w:rPr>
                <w:rFonts w:cs="Arial"/>
              </w:rPr>
              <w:t>Primary Care Visits and Non-Physician Specialist Visits by interactive video</w:t>
            </w:r>
            <w:r w:rsidRPr="005D03D7">
              <w:rPr>
                <w:rFonts w:cs="Arial"/>
              </w:rPr>
              <w:tab/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52214059" w14:textId="4F9BF857" w:rsidR="00C75666" w:rsidRPr="005D03D7" w:rsidRDefault="00FC4C11" w:rsidP="00DA4250">
            <w:pPr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No charge</w:t>
            </w:r>
          </w:p>
        </w:tc>
      </w:tr>
      <w:tr w:rsidR="00682401" w14:paraId="60434307" w14:textId="77777777" w:rsidTr="00DA4250">
        <w:trPr>
          <w:cantSplit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0FC2EC1F" w14:textId="4B49B98B" w:rsidR="00C75666" w:rsidRPr="005D03D7" w:rsidRDefault="00FC4C11" w:rsidP="00804ACC">
            <w:pPr>
              <w:tabs>
                <w:tab w:val="left" w:leader="dot" w:pos="6215"/>
              </w:tabs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Physician Specialist Visits by interactive video</w:t>
            </w:r>
            <w:r w:rsidRPr="005D03D7">
              <w:rPr>
                <w:rFonts w:cs="Arial"/>
              </w:rPr>
              <w:tab/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43E917CF" w14:textId="1B164D9E" w:rsidR="00C75666" w:rsidRPr="005D03D7" w:rsidRDefault="00FC4C11" w:rsidP="00DA4250">
            <w:pPr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No charge</w:t>
            </w:r>
          </w:p>
        </w:tc>
      </w:tr>
      <w:tr w:rsidR="00682401" w14:paraId="0277E5C3" w14:textId="77777777" w:rsidTr="00DA4250">
        <w:trPr>
          <w:cantSplit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1535AB25" w14:textId="464AB2E4" w:rsidR="00C75666" w:rsidRPr="005D03D7" w:rsidRDefault="00FC4C11" w:rsidP="00804ACC">
            <w:pPr>
              <w:tabs>
                <w:tab w:val="left" w:leader="dot" w:pos="6215"/>
              </w:tabs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 xml:space="preserve">Primary Care Visits and Non-Physician Specialist Visits by </w:t>
            </w:r>
            <w:r w:rsidRPr="005D03D7">
              <w:rPr>
                <w:rFonts w:cs="Arial"/>
              </w:rPr>
              <w:t>telephone</w:t>
            </w:r>
            <w:r w:rsidRPr="005D03D7">
              <w:rPr>
                <w:rFonts w:cs="Arial"/>
              </w:rPr>
              <w:tab/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46F36509" w14:textId="26575856" w:rsidR="00C75666" w:rsidRPr="005D03D7" w:rsidRDefault="00FC4C11" w:rsidP="00DA4250">
            <w:pPr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No charge</w:t>
            </w:r>
          </w:p>
        </w:tc>
      </w:tr>
      <w:tr w:rsidR="00682401" w14:paraId="1CEC216D" w14:textId="77777777" w:rsidTr="00DA4250">
        <w:trPr>
          <w:cantSplit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058CAF00" w14:textId="0E8A8DDE" w:rsidR="00C75666" w:rsidRPr="005D03D7" w:rsidRDefault="00FC4C11" w:rsidP="00804ACC">
            <w:pPr>
              <w:tabs>
                <w:tab w:val="left" w:leader="dot" w:pos="6215"/>
              </w:tabs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Physician Specialist Visits by telephone</w:t>
            </w:r>
            <w:r w:rsidRPr="005D03D7">
              <w:rPr>
                <w:rFonts w:cs="Arial"/>
              </w:rPr>
              <w:tab/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0122538E" w14:textId="21B39BC0" w:rsidR="00C75666" w:rsidRPr="005D03D7" w:rsidRDefault="00FC4C11" w:rsidP="00DA4250">
            <w:pPr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No charge</w:t>
            </w:r>
          </w:p>
        </w:tc>
      </w:tr>
    </w:tbl>
    <w:p w14:paraId="3C9F8A17" w14:textId="77777777" w:rsidR="00C30AD9" w:rsidRPr="005D03D7" w:rsidRDefault="00C30AD9" w:rsidP="00C30AD9">
      <w:pPr>
        <w:rPr>
          <w:rFonts w:cs="Arial"/>
          <w:sz w:val="6"/>
          <w:szCs w:val="6"/>
        </w:rPr>
      </w:pPr>
    </w:p>
    <w:tbl>
      <w:tblPr>
        <w:tblW w:w="10914" w:type="dxa"/>
        <w:tblLayout w:type="fixed"/>
        <w:tblCellMar>
          <w:left w:w="43" w:type="dxa"/>
          <w:right w:w="43" w:type="dxa"/>
        </w:tblCellMar>
        <w:tblLook w:val="06A0" w:firstRow="1" w:lastRow="0" w:firstColumn="1" w:lastColumn="0" w:noHBand="1" w:noVBand="1"/>
      </w:tblPr>
      <w:tblGrid>
        <w:gridCol w:w="6323"/>
        <w:gridCol w:w="4591"/>
      </w:tblGrid>
      <w:tr w:rsidR="00682401" w14:paraId="3C9F8A1A" w14:textId="77777777" w:rsidTr="00DA4250">
        <w:trPr>
          <w:cantSplit/>
          <w:tblHeader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3C9F8A18" w14:textId="77777777" w:rsidR="00C30AD9" w:rsidRPr="005D03D7" w:rsidRDefault="00FC4C11" w:rsidP="00DA4250">
            <w:pPr>
              <w:pStyle w:val="Heading2Table"/>
              <w:spacing w:line="220" w:lineRule="exact"/>
              <w:rPr>
                <w:rFonts w:cs="Arial"/>
              </w:rPr>
            </w:pPr>
            <w:r w:rsidRPr="00DE4433">
              <w:t>Outpatient Services</w:t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3C9F8A19" w14:textId="77777777" w:rsidR="00C30AD9" w:rsidRPr="005D03D7" w:rsidRDefault="00FC4C11" w:rsidP="00DA4250">
            <w:pPr>
              <w:pStyle w:val="TableHeading"/>
              <w:spacing w:line="220" w:lineRule="exact"/>
            </w:pPr>
            <w:r w:rsidRPr="005D03D7">
              <w:t>You Pay</w:t>
            </w:r>
          </w:p>
        </w:tc>
      </w:tr>
      <w:tr w:rsidR="00682401" w14:paraId="3C9F8A21" w14:textId="77777777" w:rsidTr="00DA4250">
        <w:trPr>
          <w:cantSplit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3C9F8A1F" w14:textId="77777777" w:rsidR="00C30AD9" w:rsidRPr="005D03D7" w:rsidRDefault="00256761" w:rsidP="00804ACC">
            <w:pPr>
              <w:tabs>
                <w:tab w:val="left" w:leader="dot" w:pos="6215"/>
              </w:tabs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Outpatient surgery and certain other outpatient procedures</w:t>
            </w:r>
            <w:r w:rsidRPr="005D03D7">
              <w:rPr>
                <w:rFonts w:cs="Arial"/>
              </w:rPr>
              <w:tab/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3C9F8A20" w14:textId="77777777" w:rsidR="00C30AD9" w:rsidRPr="005D03D7" w:rsidRDefault="00FC4C11" w:rsidP="00DA4250">
            <w:pPr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$15 per procedure</w:t>
            </w:r>
          </w:p>
        </w:tc>
      </w:tr>
      <w:tr w:rsidR="00682401" w14:paraId="3C9F8A2D" w14:textId="77777777" w:rsidTr="00DA4250">
        <w:trPr>
          <w:cantSplit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3C9F8A2B" w14:textId="77777777" w:rsidR="00C30AD9" w:rsidRPr="005D03D7" w:rsidRDefault="00FC4C11" w:rsidP="00804ACC">
            <w:pPr>
              <w:tabs>
                <w:tab w:val="left" w:leader="dot" w:pos="6215"/>
              </w:tabs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Most immunizations (including the vaccine)</w:t>
            </w:r>
            <w:r w:rsidRPr="005D03D7">
              <w:rPr>
                <w:rFonts w:cs="Arial"/>
              </w:rPr>
              <w:tab/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3C9F8A2C" w14:textId="6978BA8A" w:rsidR="00C30AD9" w:rsidRPr="005D03D7" w:rsidRDefault="00FC4C11" w:rsidP="00DA4250">
            <w:pPr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No charge</w:t>
            </w:r>
          </w:p>
        </w:tc>
      </w:tr>
      <w:tr w:rsidR="00682401" w14:paraId="3C9F8A33" w14:textId="77777777" w:rsidTr="00DA4250">
        <w:trPr>
          <w:cantSplit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3C9F8A31" w14:textId="77777777" w:rsidR="00C30AD9" w:rsidRPr="005D03D7" w:rsidRDefault="00FC4C11" w:rsidP="00804ACC">
            <w:pPr>
              <w:tabs>
                <w:tab w:val="left" w:leader="dot" w:pos="6215"/>
              </w:tabs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 xml:space="preserve">Most X-rays </w:t>
            </w:r>
            <w:r w:rsidRPr="005D03D7">
              <w:rPr>
                <w:rFonts w:cs="Arial"/>
              </w:rPr>
              <w:t>and laboratory tests</w:t>
            </w:r>
            <w:r w:rsidRPr="005D03D7">
              <w:rPr>
                <w:rFonts w:cs="Arial"/>
              </w:rPr>
              <w:tab/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3C9F8A32" w14:textId="77777777" w:rsidR="00C30AD9" w:rsidRPr="005D03D7" w:rsidRDefault="00FC4C11" w:rsidP="00DA4250">
            <w:pPr>
              <w:spacing w:line="220" w:lineRule="exact"/>
              <w:ind w:left="101" w:hanging="101"/>
              <w:rPr>
                <w:rFonts w:cs="Arial"/>
              </w:rPr>
            </w:pPr>
            <w:r w:rsidRPr="005D03D7">
              <w:rPr>
                <w:rFonts w:cs="Arial"/>
              </w:rPr>
              <w:t>No charge</w:t>
            </w:r>
          </w:p>
        </w:tc>
      </w:tr>
    </w:tbl>
    <w:p w14:paraId="3C9F8A61" w14:textId="77777777" w:rsidR="00C30AD9" w:rsidRPr="005D03D7" w:rsidRDefault="00C30AD9" w:rsidP="00C30AD9">
      <w:pPr>
        <w:rPr>
          <w:rFonts w:cs="Arial"/>
          <w:sz w:val="6"/>
          <w:szCs w:val="6"/>
        </w:rPr>
      </w:pPr>
    </w:p>
    <w:tbl>
      <w:tblPr>
        <w:tblW w:w="10914" w:type="dxa"/>
        <w:tblLayout w:type="fixed"/>
        <w:tblCellMar>
          <w:left w:w="43" w:type="dxa"/>
          <w:right w:w="43" w:type="dxa"/>
        </w:tblCellMar>
        <w:tblLook w:val="06A0" w:firstRow="1" w:lastRow="0" w:firstColumn="1" w:lastColumn="0" w:noHBand="1" w:noVBand="1"/>
      </w:tblPr>
      <w:tblGrid>
        <w:gridCol w:w="6323"/>
        <w:gridCol w:w="4591"/>
      </w:tblGrid>
      <w:tr w:rsidR="00682401" w14:paraId="3C9F8A64" w14:textId="77777777" w:rsidTr="00DA4250">
        <w:trPr>
          <w:cantSplit/>
          <w:tblHeader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3C9F8A62" w14:textId="77777777" w:rsidR="00C30AD9" w:rsidRPr="005D03D7" w:rsidRDefault="00FC4C11" w:rsidP="00DA4250">
            <w:pPr>
              <w:pStyle w:val="Heading2Table"/>
              <w:spacing w:line="220" w:lineRule="exact"/>
              <w:rPr>
                <w:rFonts w:cs="Arial"/>
              </w:rPr>
            </w:pPr>
            <w:r w:rsidRPr="00DE4433">
              <w:t>Hospitalization Services</w:t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3C9F8A63" w14:textId="77777777" w:rsidR="00C30AD9" w:rsidRPr="005D03D7" w:rsidRDefault="00FC4C11" w:rsidP="00DA4250">
            <w:pPr>
              <w:pStyle w:val="TableHeading"/>
              <w:spacing w:line="220" w:lineRule="exact"/>
            </w:pPr>
            <w:r w:rsidRPr="005D03D7">
              <w:t>You Pay</w:t>
            </w:r>
          </w:p>
        </w:tc>
      </w:tr>
      <w:tr w:rsidR="00682401" w14:paraId="3C9F8A6B" w14:textId="77777777" w:rsidTr="00DA4250">
        <w:trPr>
          <w:cantSplit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3C9F8A69" w14:textId="77777777" w:rsidR="00C30AD9" w:rsidRPr="005D03D7" w:rsidRDefault="00256761" w:rsidP="00804ACC">
            <w:pPr>
              <w:tabs>
                <w:tab w:val="left" w:leader="dot" w:pos="6215"/>
              </w:tabs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Room and board, surgery, anesthesia, X-rays, laboratory tests, and drugs</w:t>
            </w:r>
            <w:r w:rsidRPr="005D03D7">
              <w:rPr>
                <w:rFonts w:cs="Arial"/>
              </w:rPr>
              <w:tab/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3C9F8A6A" w14:textId="77777777" w:rsidR="00C30AD9" w:rsidRPr="005D03D7" w:rsidRDefault="00FC4C11" w:rsidP="00DA4250">
            <w:pPr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$250 per admission</w:t>
            </w:r>
          </w:p>
        </w:tc>
      </w:tr>
    </w:tbl>
    <w:p w14:paraId="3C9F8A6F" w14:textId="77777777" w:rsidR="00C30AD9" w:rsidRPr="005D03D7" w:rsidRDefault="00C30AD9" w:rsidP="00804ACC">
      <w:pPr>
        <w:tabs>
          <w:tab w:val="left" w:pos="6600"/>
        </w:tabs>
        <w:rPr>
          <w:rFonts w:cs="Arial"/>
          <w:sz w:val="6"/>
          <w:szCs w:val="6"/>
        </w:rPr>
      </w:pPr>
    </w:p>
    <w:tbl>
      <w:tblPr>
        <w:tblW w:w="10914" w:type="dxa"/>
        <w:tblLayout w:type="fixed"/>
        <w:tblCellMar>
          <w:left w:w="43" w:type="dxa"/>
          <w:right w:w="43" w:type="dxa"/>
        </w:tblCellMar>
        <w:tblLook w:val="06A0" w:firstRow="1" w:lastRow="0" w:firstColumn="1" w:lastColumn="0" w:noHBand="1" w:noVBand="1"/>
      </w:tblPr>
      <w:tblGrid>
        <w:gridCol w:w="6323"/>
        <w:gridCol w:w="4591"/>
      </w:tblGrid>
      <w:tr w:rsidR="00682401" w14:paraId="3C9F8A72" w14:textId="77777777" w:rsidTr="00DA4250">
        <w:trPr>
          <w:cantSplit/>
          <w:tblHeader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3C9F8A70" w14:textId="77777777" w:rsidR="00C30AD9" w:rsidRPr="005D03D7" w:rsidRDefault="00FC4C11" w:rsidP="00DA4250">
            <w:pPr>
              <w:pStyle w:val="Heading2Table"/>
              <w:spacing w:line="220" w:lineRule="exact"/>
              <w:rPr>
                <w:rFonts w:cs="Arial"/>
              </w:rPr>
            </w:pPr>
            <w:r w:rsidRPr="00DE4433">
              <w:t>Emergency Health Coverage</w:t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3C9F8A71" w14:textId="77777777" w:rsidR="00C30AD9" w:rsidRPr="005D03D7" w:rsidRDefault="00FC4C11" w:rsidP="00DA4250">
            <w:pPr>
              <w:pStyle w:val="TableHeading"/>
              <w:spacing w:line="220" w:lineRule="exact"/>
            </w:pPr>
            <w:r w:rsidRPr="005D03D7">
              <w:t>You Pay</w:t>
            </w:r>
          </w:p>
        </w:tc>
      </w:tr>
      <w:tr w:rsidR="00682401" w14:paraId="3C9F8A79" w14:textId="77777777" w:rsidTr="00DA4250">
        <w:trPr>
          <w:cantSplit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3C9F8A77" w14:textId="77777777" w:rsidR="00C30AD9" w:rsidRPr="005D03D7" w:rsidRDefault="00256761" w:rsidP="00804ACC">
            <w:pPr>
              <w:keepNext/>
              <w:tabs>
                <w:tab w:val="left" w:leader="dot" w:pos="6215"/>
              </w:tabs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Emergency Department visits</w:t>
            </w:r>
            <w:r w:rsidRPr="005D03D7">
              <w:rPr>
                <w:rFonts w:cs="Arial"/>
              </w:rPr>
              <w:tab/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3C9F8A78" w14:textId="77777777" w:rsidR="00C30AD9" w:rsidRPr="005D03D7" w:rsidRDefault="00FC4C11" w:rsidP="00DA4250">
            <w:pPr>
              <w:keepNext/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$100 per visit</w:t>
            </w:r>
          </w:p>
        </w:tc>
      </w:tr>
    </w:tbl>
    <w:p w14:paraId="3C9F8A7F" w14:textId="77777777" w:rsidR="00C30AD9" w:rsidRPr="005D03D7" w:rsidRDefault="00FC4C11" w:rsidP="00DA4250">
      <w:pPr>
        <w:tabs>
          <w:tab w:val="left" w:leader="dot" w:pos="6980"/>
        </w:tabs>
        <w:spacing w:after="60" w:line="220" w:lineRule="exact"/>
        <w:ind w:left="86" w:hanging="86"/>
        <w:rPr>
          <w:rFonts w:cs="Arial"/>
        </w:rPr>
      </w:pPr>
      <w:r w:rsidRPr="005D03D7">
        <w:rPr>
          <w:rFonts w:cs="Arial"/>
        </w:rPr>
        <w:t xml:space="preserve">Note: If you are admitted directly to the hospital as an inpatient for covered Services, you will pay the inpatient Cost Share instead of the Emergency Department Cost Share (see </w:t>
      </w:r>
      <w:r w:rsidR="00AF5D3E" w:rsidRPr="005D03D7">
        <w:rPr>
          <w:rFonts w:cs="Arial"/>
        </w:rPr>
        <w:t>“</w:t>
      </w:r>
      <w:r w:rsidRPr="005D03D7">
        <w:rPr>
          <w:rFonts w:cs="Arial"/>
        </w:rPr>
        <w:t>Hospitalization Services</w:t>
      </w:r>
      <w:r w:rsidR="00AF5D3E" w:rsidRPr="005D03D7">
        <w:rPr>
          <w:rFonts w:cs="Arial"/>
        </w:rPr>
        <w:t>”</w:t>
      </w:r>
      <w:r w:rsidRPr="005D03D7">
        <w:rPr>
          <w:rFonts w:cs="Arial"/>
        </w:rPr>
        <w:t xml:space="preserve"> for inpatient Cost Share)</w:t>
      </w:r>
    </w:p>
    <w:tbl>
      <w:tblPr>
        <w:tblW w:w="10914" w:type="dxa"/>
        <w:tblLayout w:type="fixed"/>
        <w:tblCellMar>
          <w:left w:w="43" w:type="dxa"/>
          <w:right w:w="43" w:type="dxa"/>
        </w:tblCellMar>
        <w:tblLook w:val="06A0" w:firstRow="1" w:lastRow="0" w:firstColumn="1" w:lastColumn="0" w:noHBand="1" w:noVBand="1"/>
      </w:tblPr>
      <w:tblGrid>
        <w:gridCol w:w="6323"/>
        <w:gridCol w:w="4591"/>
      </w:tblGrid>
      <w:tr w:rsidR="00682401" w14:paraId="3C9F8A83" w14:textId="77777777" w:rsidTr="00DA4250">
        <w:trPr>
          <w:cantSplit/>
          <w:tblHeader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3C9F8A81" w14:textId="77777777" w:rsidR="00C30AD9" w:rsidRPr="005D03D7" w:rsidRDefault="00FC4C11" w:rsidP="00DA4250">
            <w:pPr>
              <w:pStyle w:val="Heading2Table"/>
              <w:spacing w:line="220" w:lineRule="exact"/>
              <w:rPr>
                <w:rFonts w:cs="Arial"/>
              </w:rPr>
            </w:pPr>
            <w:r w:rsidRPr="00DE4433">
              <w:t>Ambulance Services</w:t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3C9F8A82" w14:textId="5FBEA722" w:rsidR="00C30AD9" w:rsidRPr="005D03D7" w:rsidRDefault="00FC4C11" w:rsidP="00DA4250">
            <w:pPr>
              <w:pStyle w:val="TableHeading"/>
              <w:spacing w:line="220" w:lineRule="exact"/>
            </w:pPr>
            <w:r w:rsidRPr="005D03D7">
              <w:t>You P</w:t>
            </w:r>
            <w:r w:rsidRPr="005D03D7">
              <w:t>ay</w:t>
            </w:r>
          </w:p>
        </w:tc>
      </w:tr>
      <w:tr w:rsidR="00682401" w14:paraId="3C9F8A89" w14:textId="77777777" w:rsidTr="00DA4250">
        <w:trPr>
          <w:cantSplit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3C9F8A87" w14:textId="77777777" w:rsidR="00C30AD9" w:rsidRPr="005D03D7" w:rsidRDefault="00FC4C11" w:rsidP="00804ACC">
            <w:pPr>
              <w:tabs>
                <w:tab w:val="left" w:leader="dot" w:pos="6215"/>
              </w:tabs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Ambulance Services</w:t>
            </w:r>
            <w:r w:rsidRPr="005D03D7">
              <w:rPr>
                <w:rFonts w:cs="Arial"/>
              </w:rPr>
              <w:tab/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3C9F8A88" w14:textId="77777777" w:rsidR="00C30AD9" w:rsidRPr="005D03D7" w:rsidRDefault="00FC4C11" w:rsidP="00DA4250">
            <w:pPr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$100 per trip</w:t>
            </w:r>
          </w:p>
        </w:tc>
      </w:tr>
    </w:tbl>
    <w:p w14:paraId="3C9F8A8D" w14:textId="77777777" w:rsidR="00C30AD9" w:rsidRPr="005D03D7" w:rsidRDefault="00C30AD9" w:rsidP="00804ACC">
      <w:pPr>
        <w:tabs>
          <w:tab w:val="left" w:pos="6600"/>
        </w:tabs>
        <w:rPr>
          <w:rFonts w:cs="Arial"/>
          <w:sz w:val="6"/>
          <w:szCs w:val="6"/>
        </w:rPr>
      </w:pPr>
    </w:p>
    <w:tbl>
      <w:tblPr>
        <w:tblW w:w="10914" w:type="dxa"/>
        <w:tblLayout w:type="fixed"/>
        <w:tblCellMar>
          <w:left w:w="43" w:type="dxa"/>
          <w:right w:w="43" w:type="dxa"/>
        </w:tblCellMar>
        <w:tblLook w:val="06A0" w:firstRow="1" w:lastRow="0" w:firstColumn="1" w:lastColumn="0" w:noHBand="1" w:noVBand="1"/>
      </w:tblPr>
      <w:tblGrid>
        <w:gridCol w:w="6323"/>
        <w:gridCol w:w="4591"/>
      </w:tblGrid>
      <w:tr w:rsidR="00682401" w14:paraId="3C9F8A90" w14:textId="77777777" w:rsidTr="00DA4250">
        <w:trPr>
          <w:cantSplit/>
          <w:tblHeader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3C9F8A8E" w14:textId="77777777" w:rsidR="00C30AD9" w:rsidRPr="005D03D7" w:rsidRDefault="00FC4C11" w:rsidP="00DA4250">
            <w:pPr>
              <w:pStyle w:val="Heading2Table"/>
              <w:spacing w:line="220" w:lineRule="exact"/>
              <w:rPr>
                <w:rFonts w:cs="Arial"/>
                <w:szCs w:val="18"/>
              </w:rPr>
            </w:pPr>
            <w:r w:rsidRPr="00DE4433">
              <w:t>Prescription Drug Coverage</w:t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3C9F8A8F" w14:textId="77777777" w:rsidR="00C30AD9" w:rsidRPr="005D03D7" w:rsidRDefault="00FC4C11" w:rsidP="00DA4250">
            <w:pPr>
              <w:pStyle w:val="TableHeading"/>
              <w:spacing w:line="220" w:lineRule="exact"/>
            </w:pPr>
            <w:r w:rsidRPr="005D03D7">
              <w:t>You Pay</w:t>
            </w:r>
          </w:p>
        </w:tc>
      </w:tr>
      <w:tr w:rsidR="00682401" w14:paraId="3C9F8A97" w14:textId="77777777" w:rsidTr="00DA4250">
        <w:trPr>
          <w:cantSplit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3C9F8A95" w14:textId="77777777" w:rsidR="00C30AD9" w:rsidRPr="005D03D7" w:rsidRDefault="00256761" w:rsidP="00804ACC">
            <w:pPr>
              <w:keepNext/>
              <w:tabs>
                <w:tab w:val="left" w:leader="dot" w:pos="6215"/>
              </w:tabs>
              <w:spacing w:line="220" w:lineRule="exact"/>
              <w:ind w:left="80" w:hanging="80"/>
              <w:rPr>
                <w:rFonts w:cs="Arial"/>
                <w:szCs w:val="18"/>
              </w:rPr>
            </w:pPr>
            <w:r w:rsidRPr="005D03D7">
              <w:rPr>
                <w:rFonts w:cs="Arial"/>
                <w:szCs w:val="18"/>
              </w:rPr>
              <w:t>Covered outpatient items in accord with our drug formulary guidelines:</w:t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3C9F8A96" w14:textId="77777777" w:rsidR="00C30AD9" w:rsidRPr="005D03D7" w:rsidRDefault="00FC4C11" w:rsidP="00DA4250">
            <w:pPr>
              <w:keepNext/>
              <w:spacing w:line="220" w:lineRule="exact"/>
              <w:rPr>
                <w:rFonts w:cs="Arial"/>
                <w:szCs w:val="18"/>
              </w:rPr>
            </w:pPr>
            <w:r w:rsidRPr="005D03D7">
              <w:rPr>
                <w:rFonts w:cs="Arial"/>
                <w:szCs w:val="18"/>
              </w:rPr>
              <w:t xml:space="preserve"> </w:t>
            </w:r>
          </w:p>
        </w:tc>
      </w:tr>
      <w:tr w:rsidR="00682401" w14:paraId="3C9F8A9D" w14:textId="77777777" w:rsidTr="00DA4250">
        <w:trPr>
          <w:cantSplit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3C9F8A9B" w14:textId="3A760C18" w:rsidR="00C30AD9" w:rsidRPr="005D03D7" w:rsidRDefault="00FC4C11" w:rsidP="00804ACC">
            <w:pPr>
              <w:tabs>
                <w:tab w:val="left" w:leader="dot" w:pos="6215"/>
              </w:tabs>
              <w:spacing w:line="220" w:lineRule="exact"/>
              <w:ind w:left="218" w:hanging="60"/>
              <w:rPr>
                <w:rFonts w:cs="Arial"/>
                <w:szCs w:val="18"/>
              </w:rPr>
            </w:pPr>
            <w:r w:rsidRPr="005D03D7">
              <w:rPr>
                <w:rFonts w:cs="Arial"/>
                <w:szCs w:val="18"/>
              </w:rPr>
              <w:t>Most generic items (Tier 1) at a Plan Pharmacy</w:t>
            </w:r>
            <w:r w:rsidRPr="005D03D7">
              <w:rPr>
                <w:rFonts w:cs="Arial"/>
                <w:szCs w:val="18"/>
              </w:rPr>
              <w:tab/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3C9F8A9C" w14:textId="77777777" w:rsidR="00C30AD9" w:rsidRPr="005D03D7" w:rsidRDefault="00FC4C11" w:rsidP="00DA4250">
            <w:pPr>
              <w:spacing w:line="220" w:lineRule="exact"/>
              <w:ind w:left="80" w:hanging="80"/>
              <w:rPr>
                <w:rFonts w:cs="Arial"/>
                <w:szCs w:val="18"/>
              </w:rPr>
            </w:pPr>
            <w:r w:rsidRPr="005D03D7">
              <w:rPr>
                <w:rFonts w:cs="Arial"/>
                <w:szCs w:val="18"/>
              </w:rPr>
              <w:t>$10 for up to a 30-day supply</w:t>
            </w:r>
          </w:p>
        </w:tc>
      </w:tr>
      <w:tr w:rsidR="00682401" w14:paraId="3C9F8AA3" w14:textId="77777777" w:rsidTr="00DA4250">
        <w:trPr>
          <w:cantSplit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3C9F8AA1" w14:textId="4E2ED25F" w:rsidR="00C30AD9" w:rsidRPr="005D03D7" w:rsidRDefault="00FC4C11" w:rsidP="00804ACC">
            <w:pPr>
              <w:tabs>
                <w:tab w:val="left" w:leader="dot" w:pos="6215"/>
              </w:tabs>
              <w:spacing w:line="220" w:lineRule="exact"/>
              <w:ind w:left="218" w:hanging="60"/>
              <w:rPr>
                <w:rFonts w:cs="Arial"/>
                <w:szCs w:val="18"/>
              </w:rPr>
            </w:pPr>
            <w:r w:rsidRPr="005D03D7">
              <w:rPr>
                <w:rFonts w:cs="Arial"/>
                <w:szCs w:val="18"/>
              </w:rPr>
              <w:t xml:space="preserve">Most generic (Tier 1) </w:t>
            </w:r>
            <w:r w:rsidRPr="005D03D7">
              <w:rPr>
                <w:rFonts w:cs="Arial"/>
                <w:szCs w:val="18"/>
              </w:rPr>
              <w:t>refills through our mail-order service</w:t>
            </w:r>
            <w:r w:rsidRPr="005D03D7">
              <w:rPr>
                <w:rFonts w:cs="Arial"/>
                <w:szCs w:val="18"/>
              </w:rPr>
              <w:tab/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3C9F8AA2" w14:textId="77777777" w:rsidR="00C30AD9" w:rsidRPr="005D03D7" w:rsidRDefault="00FC4C11" w:rsidP="00DA4250">
            <w:pPr>
              <w:spacing w:line="220" w:lineRule="exact"/>
              <w:ind w:left="80" w:hanging="80"/>
              <w:rPr>
                <w:rFonts w:cs="Arial"/>
                <w:szCs w:val="18"/>
              </w:rPr>
            </w:pPr>
            <w:r w:rsidRPr="005D03D7">
              <w:t>$20 for up to a 100-day supply</w:t>
            </w:r>
          </w:p>
        </w:tc>
      </w:tr>
      <w:tr w:rsidR="00682401" w14:paraId="3C9F8AA9" w14:textId="77777777" w:rsidTr="00DA4250">
        <w:trPr>
          <w:cantSplit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3C9F8AA7" w14:textId="7F078800" w:rsidR="00C30AD9" w:rsidRPr="005D03D7" w:rsidRDefault="00FC4C11" w:rsidP="00804ACC">
            <w:pPr>
              <w:tabs>
                <w:tab w:val="left" w:leader="dot" w:pos="6215"/>
              </w:tabs>
              <w:spacing w:line="220" w:lineRule="exact"/>
              <w:ind w:left="218" w:hanging="60"/>
              <w:rPr>
                <w:rFonts w:cs="Arial"/>
                <w:szCs w:val="18"/>
              </w:rPr>
            </w:pPr>
            <w:r w:rsidRPr="005D03D7">
              <w:rPr>
                <w:rFonts w:cs="Arial"/>
                <w:szCs w:val="18"/>
              </w:rPr>
              <w:t>Most brand-name items (Tier 2) at a Plan Pharmacy</w:t>
            </w:r>
            <w:r w:rsidRPr="005D03D7">
              <w:rPr>
                <w:rFonts w:cs="Arial"/>
                <w:szCs w:val="18"/>
              </w:rPr>
              <w:tab/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3C9F8AA8" w14:textId="77777777" w:rsidR="00C30AD9" w:rsidRPr="005D03D7" w:rsidRDefault="00FC4C11" w:rsidP="00DA4250">
            <w:pPr>
              <w:spacing w:line="220" w:lineRule="exact"/>
              <w:ind w:left="80" w:hanging="80"/>
              <w:rPr>
                <w:rFonts w:cs="Arial"/>
                <w:szCs w:val="18"/>
              </w:rPr>
            </w:pPr>
            <w:r w:rsidRPr="005D03D7">
              <w:rPr>
                <w:rFonts w:cs="Arial"/>
                <w:szCs w:val="18"/>
              </w:rPr>
              <w:t>$25 for up to a 30-day supply</w:t>
            </w:r>
          </w:p>
        </w:tc>
      </w:tr>
      <w:tr w:rsidR="00682401" w14:paraId="3C9F8AAF" w14:textId="77777777" w:rsidTr="00DA4250">
        <w:trPr>
          <w:cantSplit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3C9F8AAD" w14:textId="6E7D6D17" w:rsidR="00C30AD9" w:rsidRPr="005D03D7" w:rsidRDefault="00FC4C11" w:rsidP="00804ACC">
            <w:pPr>
              <w:tabs>
                <w:tab w:val="left" w:leader="dot" w:pos="6215"/>
              </w:tabs>
              <w:spacing w:line="220" w:lineRule="exact"/>
              <w:ind w:left="218" w:hanging="60"/>
              <w:rPr>
                <w:rFonts w:cs="Arial"/>
              </w:rPr>
            </w:pPr>
            <w:r w:rsidRPr="005D03D7">
              <w:rPr>
                <w:rFonts w:cs="Arial"/>
              </w:rPr>
              <w:t>Most brand-name (Tier 2) refills through our mail-order service</w:t>
            </w:r>
            <w:r w:rsidRPr="005D03D7">
              <w:rPr>
                <w:rFonts w:cs="Arial"/>
              </w:rPr>
              <w:tab/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3C9F8AAE" w14:textId="77777777" w:rsidR="00C30AD9" w:rsidRPr="005D03D7" w:rsidRDefault="00FC4C11" w:rsidP="00DA4250">
            <w:pPr>
              <w:spacing w:line="220" w:lineRule="exact"/>
              <w:ind w:left="80" w:hanging="80"/>
              <w:rPr>
                <w:rFonts w:cs="Arial"/>
              </w:rPr>
            </w:pPr>
            <w:r w:rsidRPr="005D03D7">
              <w:t>$50 for up to a 100-day supply</w:t>
            </w:r>
          </w:p>
        </w:tc>
      </w:tr>
      <w:tr w:rsidR="00682401" w14:paraId="3C9F8AB5" w14:textId="77777777" w:rsidTr="00DA4250">
        <w:trPr>
          <w:cantSplit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3C9F8AB3" w14:textId="0B561344" w:rsidR="00C30AD9" w:rsidRPr="005D03D7" w:rsidRDefault="00FC4C11" w:rsidP="00804ACC">
            <w:pPr>
              <w:tabs>
                <w:tab w:val="left" w:leader="dot" w:pos="6215"/>
              </w:tabs>
              <w:spacing w:line="220" w:lineRule="exact"/>
              <w:ind w:left="218" w:hanging="60"/>
              <w:rPr>
                <w:rFonts w:cs="Arial"/>
                <w:szCs w:val="18"/>
              </w:rPr>
            </w:pPr>
            <w:r w:rsidRPr="005D03D7">
              <w:rPr>
                <w:rFonts w:cs="Arial"/>
                <w:szCs w:val="18"/>
              </w:rPr>
              <w:t xml:space="preserve">Most </w:t>
            </w:r>
            <w:r w:rsidRPr="005D03D7">
              <w:rPr>
                <w:rFonts w:cs="Arial"/>
                <w:szCs w:val="18"/>
              </w:rPr>
              <w:t>specialty items (Tier 4) at a Plan Pharmacy</w:t>
            </w:r>
            <w:r w:rsidRPr="005D03D7">
              <w:rPr>
                <w:rFonts w:cs="Arial"/>
                <w:szCs w:val="18"/>
              </w:rPr>
              <w:tab/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3C9F8AB4" w14:textId="77777777" w:rsidR="00C30AD9" w:rsidRPr="005D03D7" w:rsidRDefault="00FC4C11" w:rsidP="00DA4250">
            <w:pPr>
              <w:spacing w:line="220" w:lineRule="exact"/>
              <w:ind w:left="80" w:hanging="80"/>
              <w:rPr>
                <w:rFonts w:cs="Arial"/>
                <w:szCs w:val="18"/>
              </w:rPr>
            </w:pPr>
            <w:r w:rsidRPr="005D03D7">
              <w:t>20% Coinsurance (not to exceed $150) for up to a 30-day supply</w:t>
            </w:r>
          </w:p>
        </w:tc>
      </w:tr>
    </w:tbl>
    <w:p w14:paraId="3C9F8AE7" w14:textId="77777777" w:rsidR="00C30AD9" w:rsidRPr="005D03D7" w:rsidRDefault="00C30AD9" w:rsidP="00C30AD9">
      <w:pPr>
        <w:rPr>
          <w:rFonts w:cs="Arial"/>
          <w:sz w:val="6"/>
          <w:szCs w:val="6"/>
        </w:rPr>
      </w:pPr>
    </w:p>
    <w:tbl>
      <w:tblPr>
        <w:tblW w:w="10914" w:type="dxa"/>
        <w:tblLayout w:type="fixed"/>
        <w:tblCellMar>
          <w:left w:w="43" w:type="dxa"/>
          <w:right w:w="43" w:type="dxa"/>
        </w:tblCellMar>
        <w:tblLook w:val="06A0" w:firstRow="1" w:lastRow="0" w:firstColumn="1" w:lastColumn="0" w:noHBand="1" w:noVBand="1"/>
      </w:tblPr>
      <w:tblGrid>
        <w:gridCol w:w="6323"/>
        <w:gridCol w:w="4591"/>
      </w:tblGrid>
      <w:tr w:rsidR="00682401" w14:paraId="3C9F8AEA" w14:textId="77777777" w:rsidTr="00DA4250">
        <w:trPr>
          <w:cantSplit/>
          <w:tblHeader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3C9F8AE8" w14:textId="77777777" w:rsidR="00C30AD9" w:rsidRPr="005D03D7" w:rsidRDefault="00FC4C11" w:rsidP="00DA4250">
            <w:pPr>
              <w:pStyle w:val="Heading2Table"/>
              <w:spacing w:line="220" w:lineRule="exact"/>
              <w:rPr>
                <w:rFonts w:cs="Arial"/>
              </w:rPr>
            </w:pPr>
            <w:r w:rsidRPr="00DE4433">
              <w:t>Durable Medical Equipment (DME)</w:t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3C9F8AE9" w14:textId="77777777" w:rsidR="00C30AD9" w:rsidRPr="005D03D7" w:rsidRDefault="00FC4C11" w:rsidP="00DA4250">
            <w:pPr>
              <w:pStyle w:val="TableHeading"/>
              <w:spacing w:line="220" w:lineRule="exact"/>
            </w:pPr>
            <w:r w:rsidRPr="005D03D7">
              <w:t>You Pay</w:t>
            </w:r>
          </w:p>
        </w:tc>
      </w:tr>
      <w:tr w:rsidR="00682401" w14:paraId="3C9F8AF1" w14:textId="77777777" w:rsidTr="00DA4250">
        <w:trPr>
          <w:cantSplit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3C9F8AEF" w14:textId="77777777" w:rsidR="00C30AD9" w:rsidRPr="005D03D7" w:rsidRDefault="00256761" w:rsidP="00804ACC">
            <w:pPr>
              <w:tabs>
                <w:tab w:val="left" w:leader="dot" w:pos="6215"/>
              </w:tabs>
              <w:spacing w:line="220" w:lineRule="exact"/>
              <w:ind w:left="80" w:hanging="80"/>
              <w:rPr>
                <w:rFonts w:cs="Arial"/>
              </w:rPr>
            </w:pPr>
            <w:r w:rsidRPr="005D03D7">
              <w:t xml:space="preserve">DME items </w:t>
            </w:r>
            <w:r w:rsidRPr="005D03D7">
              <w:rPr>
                <w:rFonts w:cs="Arial"/>
              </w:rPr>
              <w:t xml:space="preserve">as described in the </w:t>
            </w:r>
            <w:r w:rsidRPr="005D03D7">
              <w:rPr>
                <w:rFonts w:cs="Arial"/>
                <w:i/>
              </w:rPr>
              <w:t>EOC</w:t>
            </w:r>
            <w:r w:rsidRPr="005D03D7">
              <w:rPr>
                <w:rFonts w:cs="Arial"/>
              </w:rPr>
              <w:tab/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3C9F8AF0" w14:textId="77777777" w:rsidR="00C30AD9" w:rsidRPr="005D03D7" w:rsidRDefault="00FC4C11" w:rsidP="00DA4250">
            <w:pPr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20% Coinsurance</w:t>
            </w:r>
          </w:p>
        </w:tc>
      </w:tr>
    </w:tbl>
    <w:p w14:paraId="3C9F8B07" w14:textId="77777777" w:rsidR="00C30AD9" w:rsidRPr="005D03D7" w:rsidRDefault="00C30AD9" w:rsidP="00C30AD9">
      <w:pPr>
        <w:rPr>
          <w:rFonts w:cs="Arial"/>
          <w:sz w:val="6"/>
          <w:szCs w:val="6"/>
        </w:rPr>
      </w:pPr>
    </w:p>
    <w:tbl>
      <w:tblPr>
        <w:tblW w:w="10914" w:type="dxa"/>
        <w:tblLayout w:type="fixed"/>
        <w:tblCellMar>
          <w:left w:w="43" w:type="dxa"/>
          <w:right w:w="43" w:type="dxa"/>
        </w:tblCellMar>
        <w:tblLook w:val="06A0" w:firstRow="1" w:lastRow="0" w:firstColumn="1" w:lastColumn="0" w:noHBand="1" w:noVBand="1"/>
      </w:tblPr>
      <w:tblGrid>
        <w:gridCol w:w="6323"/>
        <w:gridCol w:w="4591"/>
      </w:tblGrid>
      <w:tr w:rsidR="00682401" w14:paraId="3C9F8B0A" w14:textId="77777777" w:rsidTr="00DA4250">
        <w:trPr>
          <w:cantSplit/>
          <w:tblHeader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3C9F8B08" w14:textId="77777777" w:rsidR="00C30AD9" w:rsidRPr="005D03D7" w:rsidRDefault="00FC4C11" w:rsidP="00DA4250">
            <w:pPr>
              <w:pStyle w:val="Heading2Table"/>
              <w:spacing w:line="220" w:lineRule="exact"/>
              <w:rPr>
                <w:rFonts w:cs="Arial"/>
              </w:rPr>
            </w:pPr>
            <w:r w:rsidRPr="00DE4433">
              <w:t>Mental Health Services</w:t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3C9F8B09" w14:textId="77777777" w:rsidR="00C30AD9" w:rsidRPr="005D03D7" w:rsidRDefault="00FC4C11" w:rsidP="00DA4250">
            <w:pPr>
              <w:pStyle w:val="TableHeading"/>
              <w:spacing w:line="220" w:lineRule="exact"/>
            </w:pPr>
            <w:r w:rsidRPr="005D03D7">
              <w:t>You Pay</w:t>
            </w:r>
          </w:p>
        </w:tc>
      </w:tr>
      <w:tr w:rsidR="00682401" w14:paraId="3C9F8B11" w14:textId="77777777" w:rsidTr="00DA4250">
        <w:trPr>
          <w:cantSplit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3C9F8B0F" w14:textId="77777777" w:rsidR="00C30AD9" w:rsidRPr="005D03D7" w:rsidRDefault="00256761" w:rsidP="00804ACC">
            <w:pPr>
              <w:tabs>
                <w:tab w:val="left" w:leader="dot" w:pos="6215"/>
              </w:tabs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Inpatient psychiatric hospitalization</w:t>
            </w:r>
            <w:r w:rsidRPr="005D03D7">
              <w:rPr>
                <w:rFonts w:cs="Arial"/>
              </w:rPr>
              <w:tab/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3C9F8B10" w14:textId="77777777" w:rsidR="00C30AD9" w:rsidRPr="005D03D7" w:rsidRDefault="00FC4C11" w:rsidP="00DA4250">
            <w:pPr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$250 per admission</w:t>
            </w:r>
          </w:p>
        </w:tc>
      </w:tr>
      <w:tr w:rsidR="00682401" w14:paraId="3C9F8B17" w14:textId="77777777" w:rsidTr="00DA4250">
        <w:trPr>
          <w:cantSplit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3C9F8B15" w14:textId="77777777" w:rsidR="00C30AD9" w:rsidRPr="005D03D7" w:rsidRDefault="00FC4C11" w:rsidP="00804ACC">
            <w:pPr>
              <w:tabs>
                <w:tab w:val="left" w:leader="dot" w:pos="6215"/>
              </w:tabs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Individual outpatient mental health evaluation and treatment</w:t>
            </w:r>
            <w:r w:rsidRPr="005D03D7">
              <w:rPr>
                <w:rFonts w:cs="Arial"/>
              </w:rPr>
              <w:tab/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3C9F8B16" w14:textId="77777777" w:rsidR="00C30AD9" w:rsidRPr="005D03D7" w:rsidRDefault="00FC4C11" w:rsidP="00DA4250">
            <w:pPr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$15 per visit</w:t>
            </w:r>
          </w:p>
        </w:tc>
      </w:tr>
      <w:tr w:rsidR="00682401" w14:paraId="3C9F8B1A" w14:textId="77777777" w:rsidTr="00DA4250">
        <w:trPr>
          <w:cantSplit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3C9F8B18" w14:textId="77777777" w:rsidR="00C30AD9" w:rsidRPr="005D03D7" w:rsidRDefault="00FC4C11" w:rsidP="00804ACC">
            <w:pPr>
              <w:tabs>
                <w:tab w:val="left" w:leader="dot" w:pos="6215"/>
              </w:tabs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lastRenderedPageBreak/>
              <w:t>Group outpatient mental health treatment</w:t>
            </w:r>
            <w:r w:rsidRPr="005D03D7">
              <w:rPr>
                <w:rFonts w:cs="Arial"/>
              </w:rPr>
              <w:tab/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3C9F8B19" w14:textId="77777777" w:rsidR="00C30AD9" w:rsidRPr="005D03D7" w:rsidRDefault="00FC4C11" w:rsidP="00DA4250">
            <w:pPr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$7 per visit</w:t>
            </w:r>
          </w:p>
        </w:tc>
      </w:tr>
    </w:tbl>
    <w:p w14:paraId="3C9F8B23" w14:textId="77777777" w:rsidR="00C30AD9" w:rsidRPr="005D03D7" w:rsidRDefault="00C30AD9" w:rsidP="00C30AD9">
      <w:pPr>
        <w:rPr>
          <w:rFonts w:cs="Arial"/>
          <w:sz w:val="6"/>
          <w:szCs w:val="6"/>
        </w:rPr>
      </w:pPr>
    </w:p>
    <w:tbl>
      <w:tblPr>
        <w:tblW w:w="10914" w:type="dxa"/>
        <w:tblLayout w:type="fixed"/>
        <w:tblCellMar>
          <w:left w:w="43" w:type="dxa"/>
          <w:right w:w="43" w:type="dxa"/>
        </w:tblCellMar>
        <w:tblLook w:val="06A0" w:firstRow="1" w:lastRow="0" w:firstColumn="1" w:lastColumn="0" w:noHBand="1" w:noVBand="1"/>
      </w:tblPr>
      <w:tblGrid>
        <w:gridCol w:w="6323"/>
        <w:gridCol w:w="4591"/>
      </w:tblGrid>
      <w:tr w:rsidR="00682401" w14:paraId="3C9F8B26" w14:textId="77777777" w:rsidTr="00DA4250">
        <w:trPr>
          <w:cantSplit/>
          <w:tblHeader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3C9F8B24" w14:textId="77777777" w:rsidR="00C30AD9" w:rsidRPr="005D03D7" w:rsidRDefault="00FC4C11" w:rsidP="00DA4250">
            <w:pPr>
              <w:pStyle w:val="Heading2Table"/>
              <w:spacing w:line="220" w:lineRule="exact"/>
              <w:rPr>
                <w:rFonts w:cs="Arial"/>
              </w:rPr>
            </w:pPr>
            <w:r w:rsidRPr="00DE4433">
              <w:t>Substance Use Disorder Treatment</w:t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3C9F8B25" w14:textId="77777777" w:rsidR="00C30AD9" w:rsidRPr="005D03D7" w:rsidRDefault="00FC4C11" w:rsidP="00DA4250">
            <w:pPr>
              <w:pStyle w:val="TableHeading"/>
              <w:spacing w:line="220" w:lineRule="exact"/>
            </w:pPr>
            <w:r w:rsidRPr="005D03D7">
              <w:t>You Pay</w:t>
            </w:r>
          </w:p>
        </w:tc>
      </w:tr>
      <w:tr w:rsidR="00682401" w14:paraId="3C9F8B2D" w14:textId="77777777" w:rsidTr="00DA4250">
        <w:trPr>
          <w:cantSplit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3C9F8B2B" w14:textId="77777777" w:rsidR="00C30AD9" w:rsidRPr="005D03D7" w:rsidRDefault="00256761" w:rsidP="00804ACC">
            <w:pPr>
              <w:tabs>
                <w:tab w:val="left" w:leader="dot" w:pos="6215"/>
              </w:tabs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Inpatient detoxification</w:t>
            </w:r>
            <w:r w:rsidRPr="005D03D7">
              <w:rPr>
                <w:rFonts w:cs="Arial"/>
              </w:rPr>
              <w:tab/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3C9F8B2C" w14:textId="77777777" w:rsidR="00C30AD9" w:rsidRPr="005D03D7" w:rsidRDefault="00FC4C11" w:rsidP="00DA4250">
            <w:pPr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$250 per admission</w:t>
            </w:r>
          </w:p>
        </w:tc>
      </w:tr>
      <w:tr w:rsidR="00682401" w14:paraId="3C9F8B33" w14:textId="77777777" w:rsidTr="00DA4250">
        <w:trPr>
          <w:cantSplit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3C9F8B31" w14:textId="77777777" w:rsidR="00C30AD9" w:rsidRPr="005D03D7" w:rsidRDefault="00FC4C11" w:rsidP="00804ACC">
            <w:pPr>
              <w:tabs>
                <w:tab w:val="left" w:leader="dot" w:pos="6215"/>
              </w:tabs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Individual outpatient substance use disorder evaluation and treatment</w:t>
            </w:r>
            <w:r w:rsidRPr="005D03D7">
              <w:rPr>
                <w:rFonts w:cs="Arial"/>
              </w:rPr>
              <w:tab/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3C9F8B32" w14:textId="77777777" w:rsidR="00C30AD9" w:rsidRPr="005D03D7" w:rsidRDefault="00FC4C11" w:rsidP="00DA4250">
            <w:pPr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$15 per visit</w:t>
            </w:r>
          </w:p>
        </w:tc>
      </w:tr>
      <w:tr w:rsidR="00682401" w14:paraId="3C9F8B36" w14:textId="77777777" w:rsidTr="00DA4250">
        <w:trPr>
          <w:cantSplit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3C9F8B34" w14:textId="77777777" w:rsidR="00C30AD9" w:rsidRPr="005D03D7" w:rsidRDefault="00FC4C11" w:rsidP="00804ACC">
            <w:pPr>
              <w:tabs>
                <w:tab w:val="left" w:leader="dot" w:pos="6215"/>
              </w:tabs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Group outpatient substance use disorder treatment</w:t>
            </w:r>
            <w:r w:rsidRPr="005D03D7">
              <w:rPr>
                <w:rFonts w:cs="Arial"/>
              </w:rPr>
              <w:tab/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3C9F8B35" w14:textId="77777777" w:rsidR="00C30AD9" w:rsidRPr="005D03D7" w:rsidRDefault="00FC4C11" w:rsidP="00DA4250">
            <w:pPr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$5 per visit</w:t>
            </w:r>
          </w:p>
        </w:tc>
      </w:tr>
    </w:tbl>
    <w:p w14:paraId="3C9F8B3F" w14:textId="77777777" w:rsidR="00C30AD9" w:rsidRPr="005D03D7" w:rsidRDefault="00C30AD9" w:rsidP="00C30AD9">
      <w:pPr>
        <w:rPr>
          <w:rFonts w:cs="Arial"/>
          <w:sz w:val="6"/>
          <w:szCs w:val="6"/>
        </w:rPr>
      </w:pPr>
    </w:p>
    <w:tbl>
      <w:tblPr>
        <w:tblW w:w="10914" w:type="dxa"/>
        <w:tblLayout w:type="fixed"/>
        <w:tblCellMar>
          <w:left w:w="43" w:type="dxa"/>
          <w:right w:w="43" w:type="dxa"/>
        </w:tblCellMar>
        <w:tblLook w:val="06A0" w:firstRow="1" w:lastRow="0" w:firstColumn="1" w:lastColumn="0" w:noHBand="1" w:noVBand="1"/>
      </w:tblPr>
      <w:tblGrid>
        <w:gridCol w:w="6323"/>
        <w:gridCol w:w="4591"/>
      </w:tblGrid>
      <w:tr w:rsidR="00682401" w14:paraId="3C9F8B42" w14:textId="77777777" w:rsidTr="00DA4250">
        <w:trPr>
          <w:cantSplit/>
          <w:tblHeader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3C9F8B40" w14:textId="01373B0F" w:rsidR="00C30AD9" w:rsidRPr="005D03D7" w:rsidRDefault="00FC4C11" w:rsidP="00DA4250">
            <w:pPr>
              <w:pStyle w:val="Heading2Table"/>
              <w:spacing w:line="220" w:lineRule="exact"/>
              <w:rPr>
                <w:rFonts w:cs="Arial"/>
              </w:rPr>
            </w:pPr>
            <w:r>
              <w:t>Home Health Services</w:t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3C9F8B41" w14:textId="77777777" w:rsidR="00C30AD9" w:rsidRPr="005D03D7" w:rsidRDefault="00FC4C11" w:rsidP="00DA4250">
            <w:pPr>
              <w:pStyle w:val="TableHeading"/>
              <w:spacing w:line="220" w:lineRule="exact"/>
            </w:pPr>
            <w:r w:rsidRPr="005D03D7">
              <w:t>You Pay</w:t>
            </w:r>
          </w:p>
        </w:tc>
      </w:tr>
      <w:tr w:rsidR="00682401" w14:paraId="3C9F8B55" w14:textId="77777777" w:rsidTr="00DA4250">
        <w:trPr>
          <w:cantSplit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3C9F8B53" w14:textId="77777777" w:rsidR="00C30AD9" w:rsidRPr="005D03D7" w:rsidRDefault="00FC4C11" w:rsidP="00804ACC">
            <w:pPr>
              <w:tabs>
                <w:tab w:val="left" w:leader="dot" w:pos="6215"/>
              </w:tabs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Home health care (up to 100 visits per Accumulation Period)</w:t>
            </w:r>
            <w:r w:rsidRPr="005D03D7">
              <w:rPr>
                <w:rFonts w:cs="Arial"/>
              </w:rPr>
              <w:tab/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3C9F8B54" w14:textId="77777777" w:rsidR="00C30AD9" w:rsidRPr="005D03D7" w:rsidRDefault="00FC4C11" w:rsidP="00DA4250">
            <w:pPr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No charge</w:t>
            </w:r>
          </w:p>
        </w:tc>
      </w:tr>
    </w:tbl>
    <w:p w14:paraId="3C9F8B59" w14:textId="77777777" w:rsidR="00C30AD9" w:rsidRPr="005D03D7" w:rsidRDefault="00C30AD9" w:rsidP="00C30AD9">
      <w:pPr>
        <w:rPr>
          <w:rFonts w:cs="Arial"/>
          <w:sz w:val="6"/>
          <w:szCs w:val="6"/>
        </w:rPr>
      </w:pPr>
    </w:p>
    <w:tbl>
      <w:tblPr>
        <w:tblW w:w="10914" w:type="dxa"/>
        <w:tblLayout w:type="fixed"/>
        <w:tblCellMar>
          <w:left w:w="43" w:type="dxa"/>
          <w:right w:w="43" w:type="dxa"/>
        </w:tblCellMar>
        <w:tblLook w:val="06A0" w:firstRow="1" w:lastRow="0" w:firstColumn="1" w:lastColumn="0" w:noHBand="1" w:noVBand="1"/>
      </w:tblPr>
      <w:tblGrid>
        <w:gridCol w:w="6323"/>
        <w:gridCol w:w="4591"/>
      </w:tblGrid>
      <w:tr w:rsidR="00682401" w14:paraId="3C9F8B5C" w14:textId="77777777" w:rsidTr="00DA4250">
        <w:trPr>
          <w:cantSplit/>
          <w:tblHeader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3C9F8B5A" w14:textId="77777777" w:rsidR="00C30AD9" w:rsidRPr="005D03D7" w:rsidRDefault="00FC4C11" w:rsidP="00DA4250">
            <w:pPr>
              <w:pStyle w:val="Heading2Table"/>
              <w:spacing w:line="220" w:lineRule="exact"/>
            </w:pPr>
            <w:r w:rsidRPr="005D03D7">
              <w:t>Other</w:t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3C9F8B5B" w14:textId="77777777" w:rsidR="00C30AD9" w:rsidRPr="005D03D7" w:rsidRDefault="00FC4C11" w:rsidP="00DA4250">
            <w:pPr>
              <w:pStyle w:val="TableHeading"/>
              <w:spacing w:line="220" w:lineRule="exact"/>
            </w:pPr>
            <w:r w:rsidRPr="005D03D7">
              <w:t>You Pay</w:t>
            </w:r>
          </w:p>
        </w:tc>
      </w:tr>
      <w:tr w:rsidR="00682401" w14:paraId="3C9F8BE3" w14:textId="77777777" w:rsidTr="00DA4250">
        <w:trPr>
          <w:cantSplit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3C9F8BE1" w14:textId="77777777" w:rsidR="00C30AD9" w:rsidRPr="005D03D7" w:rsidRDefault="00FC4C11" w:rsidP="00804ACC">
            <w:pPr>
              <w:tabs>
                <w:tab w:val="left" w:leader="dot" w:pos="6215"/>
              </w:tabs>
              <w:spacing w:line="220" w:lineRule="exact"/>
              <w:ind w:left="80" w:hanging="80"/>
              <w:rPr>
                <w:rFonts w:cs="Arial"/>
                <w:szCs w:val="18"/>
              </w:rPr>
            </w:pPr>
            <w:r w:rsidRPr="005D03D7">
              <w:rPr>
                <w:rFonts w:cs="Arial"/>
                <w:szCs w:val="18"/>
              </w:rPr>
              <w:t>Skilled nursing facility care (up to 100 days per benefit period)</w:t>
            </w:r>
            <w:r w:rsidRPr="005D03D7">
              <w:rPr>
                <w:rFonts w:cs="Arial"/>
                <w:szCs w:val="18"/>
              </w:rPr>
              <w:tab/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3C9F8BE2" w14:textId="77777777" w:rsidR="00C30AD9" w:rsidRPr="005D03D7" w:rsidRDefault="00FC4C11" w:rsidP="00DA4250">
            <w:pPr>
              <w:spacing w:line="220" w:lineRule="exact"/>
              <w:ind w:left="80" w:hanging="80"/>
              <w:rPr>
                <w:rFonts w:cs="Arial"/>
                <w:szCs w:val="18"/>
              </w:rPr>
            </w:pPr>
            <w:r w:rsidRPr="005D03D7">
              <w:rPr>
                <w:rFonts w:cs="Arial"/>
                <w:szCs w:val="18"/>
              </w:rPr>
              <w:t>No charge</w:t>
            </w:r>
          </w:p>
        </w:tc>
      </w:tr>
      <w:tr w:rsidR="00682401" w14:paraId="3C9F8BE9" w14:textId="77777777" w:rsidTr="00DA4250">
        <w:trPr>
          <w:cantSplit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3C9F8BE7" w14:textId="77777777" w:rsidR="00C30AD9" w:rsidRPr="005D03D7" w:rsidRDefault="00FC4C11" w:rsidP="00804ACC">
            <w:pPr>
              <w:tabs>
                <w:tab w:val="left" w:leader="dot" w:pos="6215"/>
              </w:tabs>
              <w:spacing w:line="220" w:lineRule="exact"/>
              <w:ind w:left="80" w:hanging="80"/>
              <w:rPr>
                <w:rFonts w:cs="Arial"/>
              </w:rPr>
            </w:pPr>
            <w:r w:rsidRPr="005D03D7">
              <w:t xml:space="preserve">Prosthetic and orthotic devices </w:t>
            </w:r>
            <w:r w:rsidRPr="005D03D7">
              <w:rPr>
                <w:rFonts w:cs="Arial"/>
              </w:rPr>
              <w:t xml:space="preserve">as described in the </w:t>
            </w:r>
            <w:r w:rsidRPr="005D03D7">
              <w:rPr>
                <w:rFonts w:cs="Arial"/>
                <w:i/>
              </w:rPr>
              <w:t>EOC</w:t>
            </w:r>
            <w:r w:rsidRPr="005D03D7">
              <w:rPr>
                <w:rFonts w:cs="Arial"/>
              </w:rPr>
              <w:tab/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3C9F8BE8" w14:textId="77777777" w:rsidR="00C30AD9" w:rsidRPr="005D03D7" w:rsidRDefault="00FC4C11" w:rsidP="00DA4250">
            <w:pPr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No charge</w:t>
            </w:r>
          </w:p>
        </w:tc>
      </w:tr>
      <w:tr w:rsidR="00682401" w14:paraId="3C9F8C01" w14:textId="77777777" w:rsidTr="00DA4250">
        <w:trPr>
          <w:cantSplit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3C9F8BFF" w14:textId="77777777" w:rsidR="00C30AD9" w:rsidRPr="005D03D7" w:rsidRDefault="00FC4C11" w:rsidP="00804ACC">
            <w:pPr>
              <w:tabs>
                <w:tab w:val="left" w:leader="dot" w:pos="6215"/>
              </w:tabs>
              <w:spacing w:line="220" w:lineRule="exact"/>
              <w:ind w:left="80" w:hanging="80"/>
              <w:rPr>
                <w:rFonts w:cs="Arial"/>
              </w:rPr>
            </w:pPr>
            <w:r w:rsidRPr="005D03D7">
              <w:t xml:space="preserve">Diagnosis and </w:t>
            </w:r>
            <w:r w:rsidRPr="005D03D7">
              <w:t>treatment of infertility and artificial insemination</w:t>
            </w:r>
            <w:r w:rsidRPr="005D03D7">
              <w:rPr>
                <w:rFonts w:cs="Arial"/>
              </w:rPr>
              <w:t xml:space="preserve"> (such as outpatient procedures or laboratory tests) as described in the </w:t>
            </w:r>
            <w:r w:rsidRPr="005D03D7">
              <w:rPr>
                <w:rFonts w:cs="Arial"/>
                <w:i/>
              </w:rPr>
              <w:t>EOC</w:t>
            </w:r>
            <w:r w:rsidRPr="005D03D7">
              <w:rPr>
                <w:rFonts w:cs="Arial"/>
              </w:rPr>
              <w:tab/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3C9F8C00" w14:textId="77777777" w:rsidR="00C30AD9" w:rsidRPr="005D03D7" w:rsidRDefault="00FC4C11" w:rsidP="00DA4250">
            <w:pPr>
              <w:spacing w:line="220" w:lineRule="exact"/>
              <w:ind w:left="80" w:hanging="80"/>
              <w:rPr>
                <w:rFonts w:cs="Arial"/>
              </w:rPr>
            </w:pPr>
            <w:r w:rsidRPr="005D03D7">
              <w:t xml:space="preserve">see </w:t>
            </w:r>
            <w:r w:rsidRPr="005D03D7">
              <w:rPr>
                <w:rFonts w:cs="Arial"/>
                <w:i/>
              </w:rPr>
              <w:t xml:space="preserve">EOC </w:t>
            </w:r>
            <w:r w:rsidRPr="005D03D7">
              <w:t>for Cost Share</w:t>
            </w:r>
          </w:p>
        </w:tc>
      </w:tr>
      <w:tr w:rsidR="00682401" w14:paraId="3C9F8C25" w14:textId="77777777" w:rsidTr="00DA4250">
        <w:trPr>
          <w:cantSplit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3C9F8C23" w14:textId="77777777" w:rsidR="00C30AD9" w:rsidRPr="005D03D7" w:rsidRDefault="00FC4C11" w:rsidP="00DF3D6A">
            <w:pPr>
              <w:tabs>
                <w:tab w:val="left" w:leader="dot" w:pos="6215"/>
              </w:tabs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Assisted reproductive technology (</w:t>
            </w:r>
            <w:r w:rsidR="00AF5D3E" w:rsidRPr="005D03D7">
              <w:rPr>
                <w:rFonts w:cs="Arial"/>
              </w:rPr>
              <w:t>“</w:t>
            </w:r>
            <w:r w:rsidRPr="005D03D7">
              <w:rPr>
                <w:rFonts w:cs="Arial"/>
              </w:rPr>
              <w:t>ART</w:t>
            </w:r>
            <w:r w:rsidR="00AF5D3E" w:rsidRPr="005D03D7">
              <w:rPr>
                <w:rFonts w:cs="Arial"/>
              </w:rPr>
              <w:t>”</w:t>
            </w:r>
            <w:r w:rsidRPr="005D03D7">
              <w:rPr>
                <w:rFonts w:cs="Arial"/>
              </w:rPr>
              <w:t>) Services</w:t>
            </w:r>
            <w:r w:rsidRPr="005D03D7">
              <w:rPr>
                <w:rFonts w:cs="Arial"/>
              </w:rPr>
              <w:tab/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3C9F8C24" w14:textId="77777777" w:rsidR="00C30AD9" w:rsidRPr="005D03D7" w:rsidRDefault="00FC4C11" w:rsidP="00DA4250">
            <w:pPr>
              <w:spacing w:line="220" w:lineRule="exact"/>
              <w:ind w:left="80" w:hanging="80"/>
              <w:rPr>
                <w:rFonts w:cs="Arial"/>
              </w:rPr>
            </w:pPr>
            <w:r w:rsidRPr="005D03D7">
              <w:t>Not covered</w:t>
            </w:r>
          </w:p>
        </w:tc>
      </w:tr>
      <w:tr w:rsidR="00682401" w14:paraId="3C9F8C61" w14:textId="77777777" w:rsidTr="00DA4250">
        <w:tblPrEx>
          <w:tblBorders>
            <w:bottom w:val="single" w:sz="8" w:space="0" w:color="auto"/>
          </w:tblBorders>
        </w:tblPrEx>
        <w:trPr>
          <w:cantSplit/>
        </w:trPr>
        <w:tc>
          <w:tcPr>
            <w:tcW w:w="6324" w:type="dxa"/>
            <w:shd w:val="clear" w:color="auto" w:fill="auto"/>
            <w:tcMar>
              <w:left w:w="23" w:type="dxa"/>
              <w:right w:w="80" w:type="dxa"/>
            </w:tcMar>
          </w:tcPr>
          <w:p w14:paraId="3C9F8C5F" w14:textId="77777777" w:rsidR="00C30AD9" w:rsidRPr="005D03D7" w:rsidRDefault="00FC4C11" w:rsidP="00DF3D6A">
            <w:pPr>
              <w:tabs>
                <w:tab w:val="left" w:leader="dot" w:pos="6215"/>
              </w:tabs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Hospice care</w:t>
            </w:r>
            <w:r w:rsidRPr="005D03D7">
              <w:rPr>
                <w:rFonts w:cs="Arial"/>
              </w:rPr>
              <w:tab/>
            </w:r>
          </w:p>
        </w:tc>
        <w:tc>
          <w:tcPr>
            <w:tcW w:w="4592" w:type="dxa"/>
            <w:shd w:val="clear" w:color="auto" w:fill="auto"/>
            <w:tcMar>
              <w:left w:w="40" w:type="dxa"/>
            </w:tcMar>
            <w:vAlign w:val="bottom"/>
          </w:tcPr>
          <w:p w14:paraId="3C9F8C60" w14:textId="77777777" w:rsidR="00C30AD9" w:rsidRPr="005D03D7" w:rsidRDefault="00FC4C11" w:rsidP="00DA4250">
            <w:pPr>
              <w:spacing w:line="220" w:lineRule="exact"/>
              <w:ind w:left="80" w:hanging="80"/>
              <w:rPr>
                <w:rFonts w:cs="Arial"/>
              </w:rPr>
            </w:pPr>
            <w:r w:rsidRPr="005D03D7">
              <w:rPr>
                <w:rFonts w:cs="Arial"/>
              </w:rPr>
              <w:t>No charge</w:t>
            </w:r>
          </w:p>
        </w:tc>
      </w:tr>
    </w:tbl>
    <w:p w14:paraId="3C9F8C65" w14:textId="4BA5E7C2" w:rsidR="00C30AD9" w:rsidRPr="00680E4A" w:rsidRDefault="00FC4C11" w:rsidP="00DA4250">
      <w:pPr>
        <w:spacing w:line="220" w:lineRule="exact"/>
      </w:pPr>
      <w:r w:rsidRPr="008F6AE7">
        <w:rPr>
          <w:rFonts w:cs="Arial"/>
        </w:rPr>
        <w:t xml:space="preserve">This proposal is a summary and does not include all benefits, member cost share, out-of-pocket maximums, exclusions, or limitations. For a complete description, please refer to the </w:t>
      </w:r>
      <w:r w:rsidRPr="00567EDD">
        <w:rPr>
          <w:rFonts w:cs="Arial"/>
          <w:i/>
          <w:iCs/>
        </w:rPr>
        <w:t>Evidence of Coverage</w:t>
      </w:r>
      <w:r>
        <w:rPr>
          <w:rFonts w:cs="Arial"/>
        </w:rPr>
        <w:t>.</w:t>
      </w:r>
    </w:p>
    <w:p w14:paraId="14B8F2D7" w14:textId="77777777" w:rsidR="00A26314" w:rsidRPr="00215617" w:rsidRDefault="00A26314" w:rsidP="0022469D">
      <w:pPr>
        <w:rPr>
          <w:rFonts w:cs="Arial"/>
        </w:rPr>
        <w:sectPr w:rsidR="00A26314" w:rsidRPr="00215617" w:rsidSect="00A26314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720" w:right="720" w:bottom="720" w:left="720" w:header="720" w:footer="720" w:gutter="0"/>
          <w:pgNumType w:start="1"/>
          <w:cols w:space="720"/>
          <w:titlePg/>
          <w:docGrid w:linePitch="245"/>
        </w:sectPr>
      </w:pPr>
    </w:p>
    <w:p w14:paraId="1648EFA9" w14:textId="77777777" w:rsidR="00C64220" w:rsidRPr="00215617" w:rsidRDefault="00C64220" w:rsidP="0022469D">
      <w:pPr>
        <w:rPr>
          <w:rFonts w:cs="Arial"/>
          <w:sz w:val="2"/>
          <w:szCs w:val="2"/>
        </w:rPr>
      </w:pPr>
    </w:p>
    <w:sectPr w:rsidR="00C64220" w:rsidRPr="00215617" w:rsidSect="005C185C">
      <w:type w:val="continuous"/>
      <w:pgSz w:w="12240" w:h="15840" w:code="1"/>
      <w:pgMar w:top="576" w:right="576" w:bottom="446" w:left="576" w:header="432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5E4A0" w14:textId="77777777" w:rsidR="00FC4C11" w:rsidRDefault="00FC4C11">
      <w:r>
        <w:separator/>
      </w:r>
    </w:p>
  </w:endnote>
  <w:endnote w:type="continuationSeparator" w:id="0">
    <w:p w14:paraId="033DBF84" w14:textId="77777777" w:rsidR="00FC4C11" w:rsidRDefault="00FC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45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E5C43" w14:textId="77777777" w:rsidR="00A26314" w:rsidRDefault="00A26314">
    <w:pPr>
      <w:pStyle w:val="Footer"/>
      <w:tabs>
        <w:tab w:val="clear" w:pos="4320"/>
        <w:tab w:val="clear" w:pos="8640"/>
        <w:tab w:val="center" w:pos="7200"/>
        <w:tab w:val="right" w:pos="113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C41C9" w14:textId="77777777" w:rsidR="00A26314" w:rsidRPr="00215617" w:rsidRDefault="00FC4C11" w:rsidP="008F4693">
    <w:pPr>
      <w:pStyle w:val="Footer"/>
      <w:pBdr>
        <w:bottom w:val="single" w:sz="8" w:space="1" w:color="auto"/>
      </w:pBdr>
      <w:tabs>
        <w:tab w:val="clear" w:pos="4320"/>
        <w:tab w:val="clear" w:pos="8640"/>
        <w:tab w:val="right" w:pos="10800"/>
      </w:tabs>
      <w:spacing w:before="120" w:line="240" w:lineRule="auto"/>
      <w:jc w:val="right"/>
      <w:rPr>
        <w:rFonts w:ascii="Arial" w:hAnsi="Arial" w:cs="Arial"/>
        <w:sz w:val="18"/>
        <w:szCs w:val="18"/>
      </w:rPr>
    </w:pPr>
    <w:r w:rsidRPr="00215617">
      <w:rPr>
        <w:rFonts w:ascii="Arial" w:hAnsi="Arial" w:cs="Arial"/>
        <w:sz w:val="18"/>
        <w:szCs w:val="18"/>
      </w:rPr>
      <w:t xml:space="preserve">4199639.16.1.S000676705 - TRADITIONAL HMO NCR  </w:t>
    </w:r>
    <w:r w:rsidRPr="00215617">
      <w:rPr>
        <w:rFonts w:ascii="Arial" w:hAnsi="Arial" w:cs="Arial"/>
        <w:sz w:val="18"/>
        <w:szCs w:val="18"/>
      </w:rPr>
      <w:tab/>
    </w:r>
    <w:r w:rsidRPr="00215617">
      <w:rPr>
        <w:rFonts w:ascii="Arial" w:hAnsi="Arial" w:cs="Arial"/>
        <w:i/>
        <w:sz w:val="12"/>
      </w:rPr>
      <w:t>4199639.16.1.S000676705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31258" w14:textId="77777777" w:rsidR="00A13079" w:rsidRPr="00215617" w:rsidRDefault="00FC4C11" w:rsidP="008F4693">
    <w:pPr>
      <w:pStyle w:val="Footer"/>
      <w:pBdr>
        <w:bottom w:val="single" w:sz="8" w:space="1" w:color="auto"/>
      </w:pBdr>
      <w:tabs>
        <w:tab w:val="clear" w:pos="4320"/>
        <w:tab w:val="clear" w:pos="8640"/>
        <w:tab w:val="right" w:pos="10800"/>
      </w:tabs>
      <w:spacing w:before="120" w:line="240" w:lineRule="auto"/>
      <w:jc w:val="right"/>
      <w:rPr>
        <w:rFonts w:ascii="Arial" w:hAnsi="Arial" w:cs="Arial"/>
        <w:sz w:val="18"/>
        <w:szCs w:val="18"/>
      </w:rPr>
    </w:pPr>
    <w:r w:rsidRPr="00215617">
      <w:rPr>
        <w:rFonts w:ascii="Arial" w:hAnsi="Arial" w:cs="Arial"/>
        <w:sz w:val="18"/>
        <w:szCs w:val="18"/>
      </w:rPr>
      <w:t xml:space="preserve">4199639.16.1.S000676705 - TRADITIONAL HMO NCR  </w:t>
    </w:r>
    <w:r w:rsidRPr="00215617">
      <w:rPr>
        <w:rFonts w:ascii="Arial" w:hAnsi="Arial" w:cs="Arial"/>
        <w:sz w:val="18"/>
        <w:szCs w:val="18"/>
      </w:rPr>
      <w:tab/>
    </w:r>
    <w:r w:rsidRPr="00215617">
      <w:rPr>
        <w:rFonts w:ascii="Arial" w:hAnsi="Arial" w:cs="Arial"/>
        <w:i/>
        <w:sz w:val="18"/>
        <w:szCs w:val="18"/>
      </w:rPr>
      <w:t>(continues)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B38D0" w14:textId="77777777" w:rsidR="00FC4C11" w:rsidRDefault="00FC4C11">
      <w:r>
        <w:separator/>
      </w:r>
    </w:p>
  </w:footnote>
  <w:footnote w:type="continuationSeparator" w:id="0">
    <w:p w14:paraId="581876F3" w14:textId="77777777" w:rsidR="00FC4C11" w:rsidRDefault="00FC4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00BE0" w14:textId="77777777" w:rsidR="00A26314" w:rsidRPr="00215617" w:rsidRDefault="00A26314" w:rsidP="008F4693">
    <w:pPr>
      <w:pBdr>
        <w:top w:val="single" w:sz="4" w:space="1" w:color="auto"/>
      </w:pBdr>
      <w:rPr>
        <w:rFonts w:cs="Arial"/>
        <w:sz w:val="2"/>
        <w:szCs w:val="2"/>
      </w:rPr>
    </w:pPr>
  </w:p>
  <w:p w14:paraId="40845216" w14:textId="6D1F7D43" w:rsidR="00A26314" w:rsidRPr="00215617" w:rsidRDefault="00FC4C11" w:rsidP="008F4693">
    <w:pPr>
      <w:tabs>
        <w:tab w:val="right" w:pos="10800"/>
      </w:tabs>
      <w:spacing w:after="120"/>
      <w:rPr>
        <w:rFonts w:cs="Arial"/>
        <w:b/>
        <w:sz w:val="21"/>
        <w:szCs w:val="21"/>
      </w:rPr>
    </w:pPr>
    <w:r w:rsidRPr="00215617">
      <w:rPr>
        <w:rFonts w:cs="Arial"/>
        <w:b/>
        <w:sz w:val="21"/>
        <w:szCs w:val="21"/>
      </w:rPr>
      <w:t xml:space="preserve">Benefit Summary </w:t>
    </w:r>
    <w:r w:rsidRPr="00215617">
      <w:rPr>
        <w:rFonts w:cs="Arial"/>
        <w:b/>
        <w:sz w:val="21"/>
        <w:szCs w:val="21"/>
      </w:rPr>
      <w:tab/>
    </w:r>
    <w:r w:rsidRPr="00215617">
      <w:rPr>
        <w:rFonts w:cs="Arial"/>
        <w:i/>
        <w:sz w:val="18"/>
        <w:szCs w:val="18"/>
      </w:rPr>
      <w:t>(continued)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40BB" w14:textId="154EE5C8" w:rsidR="00B44EFB" w:rsidRPr="00B44EFB" w:rsidRDefault="00FC4C11" w:rsidP="00B44EFB">
    <w:pPr>
      <w:jc w:val="right"/>
      <w:rPr>
        <w:rFonts w:cs="Arial"/>
        <w:sz w:val="16"/>
        <w:szCs w:val="16"/>
      </w:rPr>
    </w:pPr>
    <w:bookmarkStart w:id="2" w:name="_Hlk80374057"/>
    <w:bookmarkStart w:id="3" w:name="_Hlk80374058"/>
    <w:r w:rsidRPr="00B44EFB">
      <w:rPr>
        <w:rFonts w:cs="Arial"/>
        <w:sz w:val="16"/>
        <w:szCs w:val="16"/>
      </w:rPr>
      <w:t>Not a member document</w:t>
    </w:r>
  </w:p>
  <w:p w14:paraId="7E373D37" w14:textId="77777777" w:rsidR="00B44EFB" w:rsidRPr="00B44EFB" w:rsidRDefault="00B44EFB" w:rsidP="00B44EFB">
    <w:pPr>
      <w:pBdr>
        <w:top w:val="single" w:sz="4" w:space="1" w:color="auto"/>
      </w:pBdr>
      <w:rPr>
        <w:rFonts w:cs="Arial"/>
        <w:sz w:val="2"/>
        <w:szCs w:val="2"/>
      </w:rPr>
    </w:pPr>
  </w:p>
  <w:p w14:paraId="025C5BC2" w14:textId="05E32736" w:rsidR="00A26314" w:rsidRPr="00B44EFB" w:rsidRDefault="00FC4C11" w:rsidP="00B44EFB">
    <w:pPr>
      <w:spacing w:after="120"/>
      <w:rPr>
        <w:rFonts w:cs="Arial"/>
        <w:b/>
        <w:sz w:val="21"/>
        <w:szCs w:val="21"/>
      </w:rPr>
    </w:pPr>
    <w:r w:rsidRPr="00B44EFB">
      <w:rPr>
        <w:rFonts w:cs="Arial"/>
        <w:b/>
        <w:sz w:val="21"/>
        <w:szCs w:val="21"/>
      </w:rPr>
      <w:t>Benefit Summary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4442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A6276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76218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BD60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1E813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5E3B8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8219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6C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3ACF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D8B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E606D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9FB6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F581A97"/>
    <w:multiLevelType w:val="singleLevel"/>
    <w:tmpl w:val="00A8AD16"/>
    <w:lvl w:ilvl="0">
      <w:start w:val="1"/>
      <w:numFmt w:val="bullet"/>
      <w:lvlText w:val=""/>
      <w:lvlJc w:val="left"/>
      <w:pPr>
        <w:tabs>
          <w:tab w:val="num" w:pos="514"/>
        </w:tabs>
        <w:ind w:left="514" w:hanging="248"/>
      </w:pPr>
      <w:rPr>
        <w:rFonts w:ascii="Symbol" w:hAnsi="Symbol" w:hint="default"/>
        <w:sz w:val="18"/>
      </w:rPr>
    </w:lvl>
  </w:abstractNum>
  <w:abstractNum w:abstractNumId="13" w15:restartNumberingAfterBreak="0">
    <w:nsid w:val="20E766A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A844E81"/>
    <w:multiLevelType w:val="singleLevel"/>
    <w:tmpl w:val="035671D8"/>
    <w:lvl w:ilvl="0">
      <w:start w:val="1"/>
      <w:numFmt w:val="bullet"/>
      <w:lvlText w:val=""/>
      <w:lvlJc w:val="left"/>
      <w:pPr>
        <w:tabs>
          <w:tab w:val="num" w:pos="266"/>
        </w:tabs>
        <w:ind w:left="266" w:hanging="266"/>
      </w:pPr>
      <w:rPr>
        <w:rFonts w:ascii="Symbol" w:hAnsi="Symbol" w:hint="default"/>
      </w:rPr>
    </w:lvl>
  </w:abstractNum>
  <w:abstractNum w:abstractNumId="15" w15:restartNumberingAfterBreak="0">
    <w:nsid w:val="2FAD34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393F58F4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3EB42C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0F2200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5FEF0F3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4210B37"/>
    <w:multiLevelType w:val="multilevel"/>
    <w:tmpl w:val="DA7A1808"/>
    <w:lvl w:ilvl="0">
      <w:start w:val="1"/>
      <w:numFmt w:val="bullet"/>
      <w:lvlText w:val=""/>
      <w:lvlJc w:val="left"/>
      <w:pPr>
        <w:tabs>
          <w:tab w:val="num" w:pos="259"/>
        </w:tabs>
        <w:ind w:left="259" w:hanging="259"/>
      </w:pPr>
      <w:rPr>
        <w:rFonts w:ascii="Symbol" w:hAnsi="Symbol" w:hint="default"/>
      </w:rPr>
    </w:lvl>
    <w:lvl w:ilvl="1">
      <w:start w:val="1"/>
      <w:numFmt w:val="bullet"/>
      <w:lvlRestart w:val="0"/>
      <w:lvlText w:val=""/>
      <w:lvlJc w:val="left"/>
      <w:pPr>
        <w:tabs>
          <w:tab w:val="num" w:pos="518"/>
        </w:tabs>
        <w:ind w:left="518" w:hanging="25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77"/>
        </w:tabs>
        <w:ind w:left="777" w:hanging="25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36"/>
        </w:tabs>
        <w:ind w:left="1036" w:hanging="259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295"/>
        </w:tabs>
        <w:ind w:left="1295" w:hanging="259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554"/>
        </w:tabs>
        <w:ind w:left="1554" w:hanging="259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813"/>
        </w:tabs>
        <w:ind w:left="1813" w:hanging="25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072"/>
        </w:tabs>
        <w:ind w:left="2072" w:hanging="25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331"/>
        </w:tabs>
        <w:ind w:left="2331" w:hanging="259"/>
      </w:pPr>
      <w:rPr>
        <w:rFonts w:ascii="Symbol" w:hAnsi="Symbol" w:hint="default"/>
      </w:rPr>
    </w:lvl>
  </w:abstractNum>
  <w:abstractNum w:abstractNumId="21" w15:restartNumberingAfterBreak="0">
    <w:nsid w:val="64BB22E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6F0F5E9D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14"/>
  </w:num>
  <w:num w:numId="13">
    <w:abstractNumId w:val="12"/>
  </w:num>
  <w:num w:numId="14">
    <w:abstractNumId w:val="15"/>
  </w:num>
  <w:num w:numId="15">
    <w:abstractNumId w:val="19"/>
  </w:num>
  <w:num w:numId="16">
    <w:abstractNumId w:val="22"/>
  </w:num>
  <w:num w:numId="17">
    <w:abstractNumId w:val="20"/>
  </w:num>
  <w:num w:numId="18">
    <w:abstractNumId w:val="21"/>
  </w:num>
  <w:num w:numId="19">
    <w:abstractNumId w:val="13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0"/>
  </w:num>
  <w:num w:numId="39">
    <w:abstractNumId w:val="18"/>
  </w:num>
  <w:num w:numId="40">
    <w:abstractNumId w:val="17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73"/>
    <w:rsid w:val="000003F4"/>
    <w:rsid w:val="00001438"/>
    <w:rsid w:val="00004C50"/>
    <w:rsid w:val="00004E39"/>
    <w:rsid w:val="00037CE2"/>
    <w:rsid w:val="00037D58"/>
    <w:rsid w:val="000423CD"/>
    <w:rsid w:val="00042435"/>
    <w:rsid w:val="00047997"/>
    <w:rsid w:val="000637FF"/>
    <w:rsid w:val="00090BE0"/>
    <w:rsid w:val="00093D02"/>
    <w:rsid w:val="000B15C0"/>
    <w:rsid w:val="000D4830"/>
    <w:rsid w:val="000D5266"/>
    <w:rsid w:val="000E0F3D"/>
    <w:rsid w:val="000E1005"/>
    <w:rsid w:val="000E2DCB"/>
    <w:rsid w:val="000E5CE5"/>
    <w:rsid w:val="000E5D16"/>
    <w:rsid w:val="000E7051"/>
    <w:rsid w:val="000F68FF"/>
    <w:rsid w:val="00101F45"/>
    <w:rsid w:val="00137CEB"/>
    <w:rsid w:val="001434BF"/>
    <w:rsid w:val="001441E1"/>
    <w:rsid w:val="001528DC"/>
    <w:rsid w:val="001622FE"/>
    <w:rsid w:val="00162E30"/>
    <w:rsid w:val="00163AE0"/>
    <w:rsid w:val="00175537"/>
    <w:rsid w:val="00184080"/>
    <w:rsid w:val="00190660"/>
    <w:rsid w:val="0019562E"/>
    <w:rsid w:val="001A4F02"/>
    <w:rsid w:val="001B3E1E"/>
    <w:rsid w:val="001B4E38"/>
    <w:rsid w:val="001B5A47"/>
    <w:rsid w:val="001B778E"/>
    <w:rsid w:val="001C6AA8"/>
    <w:rsid w:val="001E7B4D"/>
    <w:rsid w:val="001F3847"/>
    <w:rsid w:val="001F4BA5"/>
    <w:rsid w:val="001F585B"/>
    <w:rsid w:val="00200B56"/>
    <w:rsid w:val="0020196D"/>
    <w:rsid w:val="00215617"/>
    <w:rsid w:val="00216A22"/>
    <w:rsid w:val="00223A07"/>
    <w:rsid w:val="0022469D"/>
    <w:rsid w:val="0025314A"/>
    <w:rsid w:val="00256761"/>
    <w:rsid w:val="00260C08"/>
    <w:rsid w:val="002667E8"/>
    <w:rsid w:val="0027066B"/>
    <w:rsid w:val="00273923"/>
    <w:rsid w:val="002769D4"/>
    <w:rsid w:val="002778A6"/>
    <w:rsid w:val="00283551"/>
    <w:rsid w:val="00283570"/>
    <w:rsid w:val="0028366A"/>
    <w:rsid w:val="002842C1"/>
    <w:rsid w:val="00295C2E"/>
    <w:rsid w:val="002A2151"/>
    <w:rsid w:val="002A4AFF"/>
    <w:rsid w:val="002C54FE"/>
    <w:rsid w:val="002D1245"/>
    <w:rsid w:val="002E3E47"/>
    <w:rsid w:val="002E4030"/>
    <w:rsid w:val="002F1863"/>
    <w:rsid w:val="00304847"/>
    <w:rsid w:val="0031266F"/>
    <w:rsid w:val="00312749"/>
    <w:rsid w:val="00323424"/>
    <w:rsid w:val="00323E4E"/>
    <w:rsid w:val="0033748D"/>
    <w:rsid w:val="00340FED"/>
    <w:rsid w:val="003433F7"/>
    <w:rsid w:val="0034531B"/>
    <w:rsid w:val="003475D8"/>
    <w:rsid w:val="00357958"/>
    <w:rsid w:val="00364412"/>
    <w:rsid w:val="0036618F"/>
    <w:rsid w:val="00381CC6"/>
    <w:rsid w:val="00384877"/>
    <w:rsid w:val="0039651E"/>
    <w:rsid w:val="003A51EA"/>
    <w:rsid w:val="003B046F"/>
    <w:rsid w:val="003B389D"/>
    <w:rsid w:val="003B4F5F"/>
    <w:rsid w:val="003B7E76"/>
    <w:rsid w:val="003D0C3F"/>
    <w:rsid w:val="003D2495"/>
    <w:rsid w:val="003D6E73"/>
    <w:rsid w:val="003E36FD"/>
    <w:rsid w:val="003E489B"/>
    <w:rsid w:val="003F0CB2"/>
    <w:rsid w:val="003F214E"/>
    <w:rsid w:val="003F2E5F"/>
    <w:rsid w:val="004021EF"/>
    <w:rsid w:val="00411B4C"/>
    <w:rsid w:val="00414073"/>
    <w:rsid w:val="00426E11"/>
    <w:rsid w:val="00427609"/>
    <w:rsid w:val="00427ADD"/>
    <w:rsid w:val="00430961"/>
    <w:rsid w:val="00431731"/>
    <w:rsid w:val="00436EEF"/>
    <w:rsid w:val="00450C22"/>
    <w:rsid w:val="0045327B"/>
    <w:rsid w:val="00453CC3"/>
    <w:rsid w:val="00462D50"/>
    <w:rsid w:val="00466431"/>
    <w:rsid w:val="0048109A"/>
    <w:rsid w:val="00490C33"/>
    <w:rsid w:val="0049564B"/>
    <w:rsid w:val="004A5B0A"/>
    <w:rsid w:val="004B617D"/>
    <w:rsid w:val="004C45F6"/>
    <w:rsid w:val="004D1B40"/>
    <w:rsid w:val="004D2132"/>
    <w:rsid w:val="004D529F"/>
    <w:rsid w:val="004D7BC4"/>
    <w:rsid w:val="004E7709"/>
    <w:rsid w:val="004E7A59"/>
    <w:rsid w:val="004F64FC"/>
    <w:rsid w:val="004F7D3D"/>
    <w:rsid w:val="0050666C"/>
    <w:rsid w:val="00516771"/>
    <w:rsid w:val="00521A31"/>
    <w:rsid w:val="00533B14"/>
    <w:rsid w:val="00534A5C"/>
    <w:rsid w:val="00534F87"/>
    <w:rsid w:val="005360AF"/>
    <w:rsid w:val="00567EDD"/>
    <w:rsid w:val="00582A21"/>
    <w:rsid w:val="00586519"/>
    <w:rsid w:val="00587887"/>
    <w:rsid w:val="005913EC"/>
    <w:rsid w:val="005A1349"/>
    <w:rsid w:val="005B7786"/>
    <w:rsid w:val="005B79B6"/>
    <w:rsid w:val="005C113B"/>
    <w:rsid w:val="005C185C"/>
    <w:rsid w:val="005D03D7"/>
    <w:rsid w:val="005E4A24"/>
    <w:rsid w:val="005F068C"/>
    <w:rsid w:val="005F1AD3"/>
    <w:rsid w:val="005F3650"/>
    <w:rsid w:val="005F3E96"/>
    <w:rsid w:val="005F60E8"/>
    <w:rsid w:val="00611D49"/>
    <w:rsid w:val="00611D68"/>
    <w:rsid w:val="00614267"/>
    <w:rsid w:val="00614ACA"/>
    <w:rsid w:val="00620895"/>
    <w:rsid w:val="00624A8F"/>
    <w:rsid w:val="00625DF7"/>
    <w:rsid w:val="00630368"/>
    <w:rsid w:val="00634C99"/>
    <w:rsid w:val="00636CBF"/>
    <w:rsid w:val="00673596"/>
    <w:rsid w:val="00680C54"/>
    <w:rsid w:val="00680E4A"/>
    <w:rsid w:val="00682401"/>
    <w:rsid w:val="0068337A"/>
    <w:rsid w:val="006949C0"/>
    <w:rsid w:val="00695159"/>
    <w:rsid w:val="006A3D08"/>
    <w:rsid w:val="006A714A"/>
    <w:rsid w:val="006B313E"/>
    <w:rsid w:val="006B6AA0"/>
    <w:rsid w:val="006C29ED"/>
    <w:rsid w:val="006C35E5"/>
    <w:rsid w:val="006C4AEB"/>
    <w:rsid w:val="006C5B8F"/>
    <w:rsid w:val="006C79A1"/>
    <w:rsid w:val="006D39D1"/>
    <w:rsid w:val="006E40AC"/>
    <w:rsid w:val="006E4299"/>
    <w:rsid w:val="006E6919"/>
    <w:rsid w:val="006E758E"/>
    <w:rsid w:val="006F2CAF"/>
    <w:rsid w:val="006F60F7"/>
    <w:rsid w:val="006F7A41"/>
    <w:rsid w:val="007171AF"/>
    <w:rsid w:val="00730288"/>
    <w:rsid w:val="00730E83"/>
    <w:rsid w:val="007368B7"/>
    <w:rsid w:val="00736EF7"/>
    <w:rsid w:val="00745EFB"/>
    <w:rsid w:val="00747C51"/>
    <w:rsid w:val="00757A85"/>
    <w:rsid w:val="00774BDC"/>
    <w:rsid w:val="00775ED1"/>
    <w:rsid w:val="00795E23"/>
    <w:rsid w:val="007A7CF6"/>
    <w:rsid w:val="007B06A1"/>
    <w:rsid w:val="007B0FEB"/>
    <w:rsid w:val="007B24D3"/>
    <w:rsid w:val="007B5155"/>
    <w:rsid w:val="007B7264"/>
    <w:rsid w:val="007C7B2A"/>
    <w:rsid w:val="007D5893"/>
    <w:rsid w:val="007E3AF7"/>
    <w:rsid w:val="007F7FF7"/>
    <w:rsid w:val="0080048B"/>
    <w:rsid w:val="00801ED0"/>
    <w:rsid w:val="00803760"/>
    <w:rsid w:val="00804ACC"/>
    <w:rsid w:val="00805A82"/>
    <w:rsid w:val="00817778"/>
    <w:rsid w:val="00822EAC"/>
    <w:rsid w:val="008333AD"/>
    <w:rsid w:val="00840F22"/>
    <w:rsid w:val="0085135A"/>
    <w:rsid w:val="008543D3"/>
    <w:rsid w:val="00854460"/>
    <w:rsid w:val="00854DCB"/>
    <w:rsid w:val="00857648"/>
    <w:rsid w:val="00863E89"/>
    <w:rsid w:val="00864CD3"/>
    <w:rsid w:val="008673D0"/>
    <w:rsid w:val="00867A48"/>
    <w:rsid w:val="00882F0B"/>
    <w:rsid w:val="00886B4B"/>
    <w:rsid w:val="0089389E"/>
    <w:rsid w:val="0089466D"/>
    <w:rsid w:val="008A0447"/>
    <w:rsid w:val="008B03A0"/>
    <w:rsid w:val="008C3816"/>
    <w:rsid w:val="008D31ED"/>
    <w:rsid w:val="008E69C8"/>
    <w:rsid w:val="008E6C49"/>
    <w:rsid w:val="008E742D"/>
    <w:rsid w:val="008E7DD1"/>
    <w:rsid w:val="008F4693"/>
    <w:rsid w:val="008F6AE7"/>
    <w:rsid w:val="00900F72"/>
    <w:rsid w:val="0090587F"/>
    <w:rsid w:val="009070CF"/>
    <w:rsid w:val="00910CAA"/>
    <w:rsid w:val="00914D02"/>
    <w:rsid w:val="00917C56"/>
    <w:rsid w:val="00920303"/>
    <w:rsid w:val="00920892"/>
    <w:rsid w:val="00930FA7"/>
    <w:rsid w:val="009338D9"/>
    <w:rsid w:val="00941655"/>
    <w:rsid w:val="0094719C"/>
    <w:rsid w:val="00950B73"/>
    <w:rsid w:val="0095485B"/>
    <w:rsid w:val="0096433A"/>
    <w:rsid w:val="00971975"/>
    <w:rsid w:val="009A2707"/>
    <w:rsid w:val="009B513A"/>
    <w:rsid w:val="009D5E76"/>
    <w:rsid w:val="009E7FD8"/>
    <w:rsid w:val="009F18D7"/>
    <w:rsid w:val="009F6A83"/>
    <w:rsid w:val="00A020D5"/>
    <w:rsid w:val="00A1012C"/>
    <w:rsid w:val="00A13079"/>
    <w:rsid w:val="00A14E17"/>
    <w:rsid w:val="00A15890"/>
    <w:rsid w:val="00A17A54"/>
    <w:rsid w:val="00A25483"/>
    <w:rsid w:val="00A26314"/>
    <w:rsid w:val="00A3185B"/>
    <w:rsid w:val="00A31CC1"/>
    <w:rsid w:val="00A44A2B"/>
    <w:rsid w:val="00A523A0"/>
    <w:rsid w:val="00A64400"/>
    <w:rsid w:val="00A664A4"/>
    <w:rsid w:val="00A678DD"/>
    <w:rsid w:val="00A85D1E"/>
    <w:rsid w:val="00A8796E"/>
    <w:rsid w:val="00A90D40"/>
    <w:rsid w:val="00A93CCA"/>
    <w:rsid w:val="00A9795D"/>
    <w:rsid w:val="00AB442D"/>
    <w:rsid w:val="00AD021E"/>
    <w:rsid w:val="00AD0551"/>
    <w:rsid w:val="00AE1C5B"/>
    <w:rsid w:val="00AE43FC"/>
    <w:rsid w:val="00AE4CCC"/>
    <w:rsid w:val="00AE73B1"/>
    <w:rsid w:val="00AF5D3E"/>
    <w:rsid w:val="00AF6ACC"/>
    <w:rsid w:val="00AF6F30"/>
    <w:rsid w:val="00B058FD"/>
    <w:rsid w:val="00B12EC9"/>
    <w:rsid w:val="00B13E5E"/>
    <w:rsid w:val="00B142A1"/>
    <w:rsid w:val="00B2318C"/>
    <w:rsid w:val="00B2515B"/>
    <w:rsid w:val="00B44EFB"/>
    <w:rsid w:val="00B5534A"/>
    <w:rsid w:val="00B60CDE"/>
    <w:rsid w:val="00B70EDD"/>
    <w:rsid w:val="00B846C1"/>
    <w:rsid w:val="00B9115A"/>
    <w:rsid w:val="00B91CF2"/>
    <w:rsid w:val="00B94BB4"/>
    <w:rsid w:val="00B9538E"/>
    <w:rsid w:val="00B95EBF"/>
    <w:rsid w:val="00B9650D"/>
    <w:rsid w:val="00BA7D09"/>
    <w:rsid w:val="00BB222A"/>
    <w:rsid w:val="00BC3B52"/>
    <w:rsid w:val="00BC60CA"/>
    <w:rsid w:val="00BC7E5E"/>
    <w:rsid w:val="00BE1049"/>
    <w:rsid w:val="00C02F82"/>
    <w:rsid w:val="00C03F76"/>
    <w:rsid w:val="00C30AD9"/>
    <w:rsid w:val="00C327B5"/>
    <w:rsid w:val="00C33873"/>
    <w:rsid w:val="00C37D86"/>
    <w:rsid w:val="00C43465"/>
    <w:rsid w:val="00C52DF2"/>
    <w:rsid w:val="00C5688D"/>
    <w:rsid w:val="00C64220"/>
    <w:rsid w:val="00C715D4"/>
    <w:rsid w:val="00C75666"/>
    <w:rsid w:val="00C8470B"/>
    <w:rsid w:val="00C91089"/>
    <w:rsid w:val="00CB3071"/>
    <w:rsid w:val="00CD2E43"/>
    <w:rsid w:val="00CD3B09"/>
    <w:rsid w:val="00CD64DA"/>
    <w:rsid w:val="00CD7CA9"/>
    <w:rsid w:val="00CF0130"/>
    <w:rsid w:val="00CF36E0"/>
    <w:rsid w:val="00CF3E69"/>
    <w:rsid w:val="00CF42B6"/>
    <w:rsid w:val="00D06BF9"/>
    <w:rsid w:val="00D11744"/>
    <w:rsid w:val="00D201B5"/>
    <w:rsid w:val="00D27C43"/>
    <w:rsid w:val="00D32699"/>
    <w:rsid w:val="00D326E1"/>
    <w:rsid w:val="00D3283C"/>
    <w:rsid w:val="00D34718"/>
    <w:rsid w:val="00D40713"/>
    <w:rsid w:val="00D501A8"/>
    <w:rsid w:val="00D53897"/>
    <w:rsid w:val="00D56597"/>
    <w:rsid w:val="00D611FE"/>
    <w:rsid w:val="00D70D68"/>
    <w:rsid w:val="00D73E38"/>
    <w:rsid w:val="00D7479D"/>
    <w:rsid w:val="00D75BBF"/>
    <w:rsid w:val="00D806A8"/>
    <w:rsid w:val="00D816D6"/>
    <w:rsid w:val="00D8725C"/>
    <w:rsid w:val="00D90AE0"/>
    <w:rsid w:val="00D91919"/>
    <w:rsid w:val="00D955EE"/>
    <w:rsid w:val="00DA01EC"/>
    <w:rsid w:val="00DA4250"/>
    <w:rsid w:val="00DB6800"/>
    <w:rsid w:val="00DC2728"/>
    <w:rsid w:val="00DC79A0"/>
    <w:rsid w:val="00DD1C58"/>
    <w:rsid w:val="00DE4162"/>
    <w:rsid w:val="00DE4433"/>
    <w:rsid w:val="00DE640E"/>
    <w:rsid w:val="00DE7FC8"/>
    <w:rsid w:val="00DF3D6A"/>
    <w:rsid w:val="00E02110"/>
    <w:rsid w:val="00E04691"/>
    <w:rsid w:val="00E05471"/>
    <w:rsid w:val="00E11515"/>
    <w:rsid w:val="00E12CB4"/>
    <w:rsid w:val="00E138F3"/>
    <w:rsid w:val="00E14CC3"/>
    <w:rsid w:val="00E16D13"/>
    <w:rsid w:val="00E208C9"/>
    <w:rsid w:val="00E35371"/>
    <w:rsid w:val="00E407DC"/>
    <w:rsid w:val="00E54C1C"/>
    <w:rsid w:val="00E57BD4"/>
    <w:rsid w:val="00E627FA"/>
    <w:rsid w:val="00E665E0"/>
    <w:rsid w:val="00E80538"/>
    <w:rsid w:val="00E91E1A"/>
    <w:rsid w:val="00E96755"/>
    <w:rsid w:val="00EB096B"/>
    <w:rsid w:val="00EE252B"/>
    <w:rsid w:val="00EE3F7F"/>
    <w:rsid w:val="00EE7FFB"/>
    <w:rsid w:val="00F0656D"/>
    <w:rsid w:val="00F06C2A"/>
    <w:rsid w:val="00F137F2"/>
    <w:rsid w:val="00F1559D"/>
    <w:rsid w:val="00F24A3A"/>
    <w:rsid w:val="00F25088"/>
    <w:rsid w:val="00F30D4B"/>
    <w:rsid w:val="00F40758"/>
    <w:rsid w:val="00F43F6C"/>
    <w:rsid w:val="00F44F53"/>
    <w:rsid w:val="00F5084D"/>
    <w:rsid w:val="00F54548"/>
    <w:rsid w:val="00F6002D"/>
    <w:rsid w:val="00F65463"/>
    <w:rsid w:val="00F657F8"/>
    <w:rsid w:val="00F90705"/>
    <w:rsid w:val="00F91D9E"/>
    <w:rsid w:val="00F941D6"/>
    <w:rsid w:val="00F95DC8"/>
    <w:rsid w:val="00F95F57"/>
    <w:rsid w:val="00FA08F4"/>
    <w:rsid w:val="00FA1546"/>
    <w:rsid w:val="00FA1C6D"/>
    <w:rsid w:val="00FA634C"/>
    <w:rsid w:val="00FA79D3"/>
    <w:rsid w:val="00FC4C11"/>
    <w:rsid w:val="00FC4C26"/>
    <w:rsid w:val="00FC5D75"/>
    <w:rsid w:val="00FC6004"/>
    <w:rsid w:val="00FC6E54"/>
    <w:rsid w:val="00FE769A"/>
    <w:rsid w:val="00FF1924"/>
    <w:rsid w:val="00FF41A7"/>
    <w:rsid w:val="00FF6D75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3551E5"/>
  <w15:chartTrackingRefBased/>
  <w15:docId w15:val="{A75B1C76-1AE6-458C-B8A0-BA58E43D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CAA"/>
    <w:rPr>
      <w:rFonts w:ascii="Arial" w:hAnsi="Arial"/>
    </w:rPr>
  </w:style>
  <w:style w:type="paragraph" w:styleId="Heading1">
    <w:name w:val="heading 1"/>
    <w:basedOn w:val="Normal"/>
    <w:next w:val="Normal"/>
    <w:qFormat/>
    <w:rsid w:val="000E7051"/>
    <w:pPr>
      <w:spacing w:before="60"/>
      <w:outlineLvl w:val="0"/>
    </w:pPr>
    <w:rPr>
      <w:rFonts w:cs="Arial"/>
      <w:b/>
      <w:sz w:val="30"/>
      <w:szCs w:val="32"/>
    </w:rPr>
  </w:style>
  <w:style w:type="paragraph" w:styleId="Heading2">
    <w:name w:val="heading 2"/>
    <w:basedOn w:val="Normal"/>
    <w:next w:val="Normal"/>
    <w:link w:val="Heading2Char"/>
    <w:qFormat/>
    <w:rsid w:val="000E7051"/>
    <w:pPr>
      <w:keepNext/>
      <w:pBdr>
        <w:bottom w:val="single" w:sz="8" w:space="0" w:color="auto"/>
      </w:pBdr>
      <w:spacing w:before="60"/>
      <w:outlineLvl w:val="1"/>
    </w:pPr>
    <w:rPr>
      <w:rFonts w:cs="Arial"/>
      <w:b/>
    </w:rPr>
  </w:style>
  <w:style w:type="paragraph" w:styleId="Heading3">
    <w:name w:val="heading 3"/>
    <w:basedOn w:val="Normal"/>
    <w:next w:val="Normal"/>
    <w:rsid w:val="000E7051"/>
    <w:pPr>
      <w:keepNext/>
      <w:keepLines/>
      <w:spacing w:before="400" w:after="160"/>
      <w:ind w:right="-30"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rsid w:val="000E7051"/>
    <w:pPr>
      <w:keepNext/>
      <w:keepLines/>
      <w:spacing w:before="240" w:after="20"/>
      <w:ind w:right="-20"/>
      <w:outlineLvl w:val="3"/>
    </w:pPr>
    <w:rPr>
      <w:b/>
    </w:rPr>
  </w:style>
  <w:style w:type="paragraph" w:styleId="Heading5">
    <w:name w:val="heading 5"/>
    <w:basedOn w:val="Normal"/>
    <w:next w:val="Normal"/>
    <w:rsid w:val="000E7051"/>
    <w:pPr>
      <w:spacing w:before="260"/>
      <w:outlineLvl w:val="4"/>
    </w:pPr>
    <w:rPr>
      <w:b/>
      <w:i/>
    </w:rPr>
  </w:style>
  <w:style w:type="paragraph" w:styleId="Heading6">
    <w:name w:val="heading 6"/>
    <w:basedOn w:val="Normal"/>
    <w:next w:val="Normal"/>
    <w:rsid w:val="000E7051"/>
    <w:pPr>
      <w:keepNext/>
      <w:outlineLvl w:val="5"/>
    </w:pPr>
    <w:rPr>
      <w:b/>
      <w:sz w:val="32"/>
    </w:rPr>
  </w:style>
  <w:style w:type="paragraph" w:styleId="Heading7">
    <w:name w:val="heading 7"/>
    <w:basedOn w:val="Normal"/>
    <w:next w:val="Normal"/>
    <w:link w:val="Heading7Char"/>
    <w:rsid w:val="000E705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rsid w:val="000E7051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rsid w:val="000E7051"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rora">
    <w:name w:val="aurora"/>
    <w:link w:val="NormalSanSerifChar"/>
    <w:locked/>
    <w:rsid w:val="000E7051"/>
    <w:rPr>
      <w:rFonts w:ascii="Arial" w:hAnsi="Arial"/>
      <w:color w:val="FF0000"/>
    </w:rPr>
  </w:style>
  <w:style w:type="character" w:customStyle="1" w:styleId="NormalSanSerifChar">
    <w:name w:val="NormalSanSerif Char"/>
    <w:link w:val="aurora"/>
    <w:rsid w:val="000E7051"/>
    <w:rPr>
      <w:rFonts w:ascii="Arial" w:hAnsi="Arial"/>
      <w:color w:val="FF0000"/>
    </w:rPr>
  </w:style>
  <w:style w:type="character" w:customStyle="1" w:styleId="Heading9Char">
    <w:name w:val="Heading 9 Char"/>
    <w:link w:val="Heading9"/>
    <w:rsid w:val="00DE7FC8"/>
    <w:rPr>
      <w:rFonts w:ascii="Arial" w:hAnsi="Arial"/>
      <w:b/>
      <w:i/>
      <w:sz w:val="18"/>
    </w:rPr>
  </w:style>
  <w:style w:type="character" w:customStyle="1" w:styleId="Heading8Char">
    <w:name w:val="Heading 8 Char"/>
    <w:link w:val="Heading8"/>
    <w:rsid w:val="00DE7FC8"/>
    <w:rPr>
      <w:rFonts w:ascii="Arial" w:hAnsi="Arial"/>
      <w:i/>
    </w:rPr>
  </w:style>
  <w:style w:type="character" w:customStyle="1" w:styleId="Heading7Char">
    <w:name w:val="Heading 7 Char"/>
    <w:link w:val="Heading7"/>
    <w:rsid w:val="00DE7FC8"/>
    <w:rPr>
      <w:rFonts w:ascii="Arial" w:hAnsi="Arial"/>
    </w:rPr>
  </w:style>
  <w:style w:type="paragraph" w:styleId="CommentText">
    <w:name w:val="annotation text"/>
    <w:basedOn w:val="Normal"/>
    <w:link w:val="CommentTextChar"/>
    <w:rsid w:val="000E7051"/>
  </w:style>
  <w:style w:type="character" w:customStyle="1" w:styleId="CommentTextChar">
    <w:name w:val="Comment Text Char"/>
    <w:basedOn w:val="DefaultParagraphFont"/>
    <w:link w:val="CommentText"/>
    <w:rsid w:val="000E705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E7FC8"/>
    <w:rPr>
      <w:b/>
      <w:bCs/>
    </w:rPr>
  </w:style>
  <w:style w:type="character" w:customStyle="1" w:styleId="CommentSubjectChar">
    <w:name w:val="Comment Subject Char"/>
    <w:link w:val="CommentSubject"/>
    <w:rsid w:val="00DE7FC8"/>
    <w:rPr>
      <w:rFonts w:ascii="Avenir 45 Book" w:hAnsi="Avenir 45 Book"/>
      <w:b/>
      <w:bCs/>
    </w:rPr>
  </w:style>
  <w:style w:type="character" w:styleId="CommentReference">
    <w:name w:val="annotation reference"/>
    <w:basedOn w:val="DefaultParagraphFont"/>
    <w:rsid w:val="00EB096B"/>
    <w:rPr>
      <w:sz w:val="16"/>
      <w:szCs w:val="16"/>
    </w:rPr>
  </w:style>
  <w:style w:type="character" w:customStyle="1" w:styleId="auroraTAG">
    <w:name w:val="auroraTAG"/>
    <w:rsid w:val="000E7051"/>
    <w:rPr>
      <w:rFonts w:ascii="Arial" w:hAnsi="Arial"/>
      <w:b/>
      <w:i/>
      <w:color w:val="008000"/>
      <w:sz w:val="18"/>
      <w:szCs w:val="12"/>
    </w:rPr>
  </w:style>
  <w:style w:type="character" w:styleId="Hyperlink">
    <w:name w:val="Hyperlink"/>
    <w:rsid w:val="00910CAA"/>
    <w:rPr>
      <w:b/>
      <w:color w:val="0000FF"/>
      <w:u w:val="single"/>
    </w:rPr>
  </w:style>
  <w:style w:type="paragraph" w:customStyle="1" w:styleId="Heading1BenefitSummary">
    <w:name w:val="Heading 1 Benefit Summary"/>
    <w:basedOn w:val="Heading1"/>
    <w:next w:val="Normal"/>
    <w:qFormat/>
    <w:rsid w:val="000E7051"/>
    <w:pPr>
      <w:spacing w:before="0"/>
    </w:pPr>
    <w:rPr>
      <w:sz w:val="26"/>
    </w:rPr>
  </w:style>
  <w:style w:type="paragraph" w:customStyle="1" w:styleId="CXFilingComment">
    <w:name w:val="CX_Filing Comment"/>
    <w:basedOn w:val="Normal"/>
    <w:link w:val="CXFilingCommentChar"/>
    <w:qFormat/>
    <w:rsid w:val="000E7051"/>
    <w:rPr>
      <w:color w:val="FF0000"/>
    </w:rPr>
  </w:style>
  <w:style w:type="character" w:customStyle="1" w:styleId="CXFilingCommentChar">
    <w:name w:val="CX_Filing Comment Char"/>
    <w:link w:val="CXFilingComment"/>
    <w:rsid w:val="000E7051"/>
    <w:rPr>
      <w:rFonts w:ascii="Arial" w:hAnsi="Arial"/>
      <w:color w:val="FF0000"/>
    </w:rPr>
  </w:style>
  <w:style w:type="paragraph" w:customStyle="1" w:styleId="CXInternal">
    <w:name w:val="CX_Internal"/>
    <w:basedOn w:val="Normal"/>
    <w:link w:val="CXInternalChar"/>
    <w:qFormat/>
    <w:rsid w:val="000E7051"/>
    <w:rPr>
      <w:color w:val="008000"/>
    </w:rPr>
  </w:style>
  <w:style w:type="character" w:customStyle="1" w:styleId="CXInternalChar">
    <w:name w:val="CX_Internal Char"/>
    <w:link w:val="CXInternal"/>
    <w:rsid w:val="000E7051"/>
    <w:rPr>
      <w:rFonts w:ascii="Arial" w:hAnsi="Arial"/>
      <w:color w:val="008000"/>
    </w:rPr>
  </w:style>
  <w:style w:type="paragraph" w:customStyle="1" w:styleId="Heading2Table">
    <w:name w:val="Heading 2 Table"/>
    <w:basedOn w:val="Normal"/>
    <w:next w:val="Normal"/>
    <w:link w:val="Heading2TableChar"/>
    <w:qFormat/>
    <w:rsid w:val="000E7051"/>
    <w:pPr>
      <w:keepNext/>
      <w:pBdr>
        <w:bottom w:val="single" w:sz="8" w:space="0" w:color="auto"/>
      </w:pBdr>
      <w:outlineLvl w:val="1"/>
    </w:pPr>
    <w:rPr>
      <w:b/>
    </w:rPr>
  </w:style>
  <w:style w:type="paragraph" w:customStyle="1" w:styleId="CXAnnotation">
    <w:name w:val="CX_Annotation"/>
    <w:basedOn w:val="CommentText"/>
    <w:link w:val="CXAnnotationChar"/>
    <w:qFormat/>
    <w:rsid w:val="000E7051"/>
    <w:rPr>
      <w:rFonts w:cs="Arial"/>
      <w:color w:val="0000FF"/>
    </w:rPr>
  </w:style>
  <w:style w:type="character" w:customStyle="1" w:styleId="CXAnnotationChar">
    <w:name w:val="CX_Annotation Char"/>
    <w:basedOn w:val="CommentTextChar"/>
    <w:link w:val="CXAnnotation"/>
    <w:rsid w:val="000E7051"/>
    <w:rPr>
      <w:rFonts w:ascii="Arial" w:hAnsi="Arial" w:cs="Arial"/>
      <w:color w:val="0000FF"/>
    </w:rPr>
  </w:style>
  <w:style w:type="character" w:customStyle="1" w:styleId="Heading2Char">
    <w:name w:val="Heading 2 Char"/>
    <w:link w:val="Heading2"/>
    <w:rsid w:val="000E7051"/>
    <w:rPr>
      <w:rFonts w:ascii="Arial" w:hAnsi="Arial" w:cs="Arial"/>
      <w:b/>
    </w:rPr>
  </w:style>
  <w:style w:type="paragraph" w:customStyle="1" w:styleId="Heading2Spanish">
    <w:name w:val="Heading 2 Spanish"/>
    <w:basedOn w:val="Normal"/>
    <w:next w:val="Normal"/>
    <w:link w:val="Heading2SpanishChar"/>
    <w:qFormat/>
    <w:rsid w:val="000E7051"/>
    <w:pPr>
      <w:keepNext/>
      <w:pBdr>
        <w:bottom w:val="single" w:sz="8" w:space="1" w:color="auto"/>
      </w:pBdr>
      <w:spacing w:before="40"/>
      <w:outlineLvl w:val="1"/>
    </w:pPr>
    <w:rPr>
      <w:rFonts w:cs="Arial"/>
      <w:b/>
      <w:lang w:val="es-ES"/>
    </w:rPr>
  </w:style>
  <w:style w:type="character" w:customStyle="1" w:styleId="Heading2SpanishChar">
    <w:name w:val="Heading 2 Spanish Char"/>
    <w:basedOn w:val="DefaultParagraphFont"/>
    <w:link w:val="Heading2Spanish"/>
    <w:rsid w:val="000E7051"/>
    <w:rPr>
      <w:rFonts w:ascii="Arial" w:hAnsi="Arial" w:cs="Arial"/>
      <w:b/>
      <w:lang w:val="es-ES"/>
    </w:rPr>
  </w:style>
  <w:style w:type="character" w:customStyle="1" w:styleId="Heading2TableChar">
    <w:name w:val="Heading 2 Table Char"/>
    <w:basedOn w:val="DefaultParagraphFont"/>
    <w:link w:val="Heading2Table"/>
    <w:rsid w:val="000E7051"/>
    <w:rPr>
      <w:rFonts w:ascii="Arial" w:hAnsi="Arial"/>
      <w:b/>
    </w:rPr>
  </w:style>
  <w:style w:type="paragraph" w:customStyle="1" w:styleId="Heading2TableSpanish">
    <w:name w:val="Heading 2 Table Spanish"/>
    <w:basedOn w:val="Heading2Table"/>
    <w:next w:val="Normal"/>
    <w:link w:val="Heading2TableSpanishChar"/>
    <w:qFormat/>
    <w:rsid w:val="000E7051"/>
    <w:rPr>
      <w:lang w:val="es-ES"/>
    </w:rPr>
  </w:style>
  <w:style w:type="character" w:customStyle="1" w:styleId="Heading2TableSpanishChar">
    <w:name w:val="Heading 2 Table Spanish Char"/>
    <w:basedOn w:val="Heading2TableChar"/>
    <w:link w:val="Heading2TableSpanish"/>
    <w:rsid w:val="000E7051"/>
    <w:rPr>
      <w:rFonts w:ascii="Arial" w:hAnsi="Arial"/>
      <w:b/>
      <w:lang w:val="es-ES"/>
    </w:rPr>
  </w:style>
  <w:style w:type="paragraph" w:customStyle="1" w:styleId="TableHeading">
    <w:name w:val="Table Heading"/>
    <w:basedOn w:val="Heading2Table"/>
    <w:next w:val="Normal"/>
    <w:link w:val="TableHeadingChar"/>
    <w:qFormat/>
    <w:rsid w:val="000E7051"/>
    <w:pPr>
      <w:outlineLvl w:val="9"/>
    </w:pPr>
  </w:style>
  <w:style w:type="character" w:customStyle="1" w:styleId="TableHeadingChar">
    <w:name w:val="Table Heading Char"/>
    <w:basedOn w:val="Heading2TableChar"/>
    <w:link w:val="TableHeading"/>
    <w:rsid w:val="000E7051"/>
    <w:rPr>
      <w:rFonts w:ascii="Arial" w:hAnsi="Arial"/>
      <w:b/>
    </w:rPr>
  </w:style>
  <w:style w:type="paragraph" w:customStyle="1" w:styleId="TableHeadingSpanish">
    <w:name w:val="Table Heading Spanish"/>
    <w:basedOn w:val="TableHeading"/>
    <w:next w:val="Normal"/>
    <w:link w:val="TableHeadingSpanishChar"/>
    <w:qFormat/>
    <w:rsid w:val="000E7051"/>
    <w:rPr>
      <w:lang w:val="es-ES"/>
    </w:rPr>
  </w:style>
  <w:style w:type="character" w:customStyle="1" w:styleId="TableHeadingSpanishChar">
    <w:name w:val="Table Heading Spanish Char"/>
    <w:basedOn w:val="TableHeadingChar"/>
    <w:link w:val="TableHeadingSpanish"/>
    <w:rsid w:val="000E7051"/>
    <w:rPr>
      <w:rFonts w:ascii="Arial" w:hAnsi="Arial"/>
      <w:b/>
      <w:lang w:val="es-ES"/>
    </w:rPr>
  </w:style>
  <w:style w:type="paragraph" w:styleId="Header">
    <w:name w:val="header"/>
    <w:basedOn w:val="Normal"/>
    <w:rsid w:val="002E19E1"/>
    <w:pPr>
      <w:tabs>
        <w:tab w:val="center" w:pos="4320"/>
        <w:tab w:val="right" w:pos="8640"/>
      </w:tabs>
      <w:spacing w:before="20" w:line="252" w:lineRule="auto"/>
    </w:pPr>
    <w:rPr>
      <w:rFonts w:ascii="Times New Roman" w:hAnsi="Times New Roman"/>
    </w:rPr>
  </w:style>
  <w:style w:type="paragraph" w:styleId="Footer">
    <w:name w:val="footer"/>
    <w:basedOn w:val="Normal"/>
    <w:rsid w:val="002E19E1"/>
    <w:pPr>
      <w:tabs>
        <w:tab w:val="center" w:pos="4320"/>
        <w:tab w:val="right" w:pos="8640"/>
      </w:tabs>
      <w:spacing w:before="20" w:line="252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171394\AppData\Roaming\Microsoft\Templates\23DF_Char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D93D7-CFDF-4F63-B298-F10FD26AB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23DF_Chart</Template>
  <TotalTime>1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DDADADA</vt:lpstr>
      </vt:variant>
      <vt:variant>
        <vt:i4>0</vt:i4>
      </vt:variant>
    </vt:vector>
  </HeadingPairs>
  <TitlesOfParts>
    <vt:vector size="1" baseType="lpstr">
      <vt:lpstr>Proposed Benefit Summary</vt:lpstr>
    </vt:vector>
  </TitlesOfParts>
  <Company>Kaiser Foundation Health Plan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Benefit Summary</dc:title>
  <dc:creator>Kaiser Foundation Health Plan</dc:creator>
  <cp:lastModifiedBy>Daniela Barron Vargas</cp:lastModifiedBy>
  <cp:revision>2</cp:revision>
  <dcterms:created xsi:type="dcterms:W3CDTF">2022-09-20T15:17:00Z</dcterms:created>
  <dcterms:modified xsi:type="dcterms:W3CDTF">2022-09-20T15:17:00Z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xxDesc">
    <vt:lpwstr>4199639_16_1_4469444_Standard_Customer_Document_Package_558820</vt:lpwstr>
  </property>
  <property fmtid="{D5CDD505-2E9C-101B-9397-08002B2CF9AE}" pid="3" name="ContraxxID">
    <vt:lpwstr>182548018</vt:lpwstr>
  </property>
</Properties>
</file>